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06" w:rsidRDefault="007C55A0" w:rsidP="00E47721">
      <w:pPr>
        <w:rPr>
          <w:rFonts w:ascii="Arial" w:hAnsi="Arial" w:cs="Arial"/>
          <w:sz w:val="24"/>
          <w:szCs w:val="24"/>
        </w:rPr>
      </w:pPr>
      <w:r>
        <w:rPr>
          <w:rFonts w:ascii="Arial" w:hAnsi="Arial" w:cs="Arial"/>
          <w:sz w:val="24"/>
          <w:szCs w:val="24"/>
        </w:rPr>
        <w:t>2</w:t>
      </w:r>
      <w:r w:rsidR="00012A75">
        <w:rPr>
          <w:rFonts w:ascii="Arial" w:hAnsi="Arial" w:cs="Arial"/>
          <w:sz w:val="24"/>
          <w:szCs w:val="24"/>
        </w:rPr>
        <w:t xml:space="preserve"> August 2018</w:t>
      </w:r>
    </w:p>
    <w:p w:rsidR="00012A75" w:rsidRDefault="00012A75" w:rsidP="00E47721">
      <w:pPr>
        <w:rPr>
          <w:rFonts w:ascii="Arial" w:hAnsi="Arial" w:cs="Arial"/>
          <w:sz w:val="24"/>
          <w:szCs w:val="24"/>
        </w:rPr>
      </w:pPr>
    </w:p>
    <w:p w:rsidR="00CF03A5" w:rsidRPr="00501F23" w:rsidRDefault="00CF03A5" w:rsidP="00E47721">
      <w:pPr>
        <w:rPr>
          <w:rFonts w:ascii="Arial" w:hAnsi="Arial" w:cs="Arial"/>
          <w:sz w:val="24"/>
          <w:szCs w:val="24"/>
        </w:rPr>
      </w:pPr>
    </w:p>
    <w:p w:rsidR="00573211" w:rsidRDefault="00E47721" w:rsidP="00E47721">
      <w:pPr>
        <w:rPr>
          <w:rFonts w:ascii="Arial" w:hAnsi="Arial" w:cs="Arial"/>
          <w:sz w:val="24"/>
          <w:szCs w:val="24"/>
        </w:rPr>
      </w:pPr>
      <w:r w:rsidRPr="00501F23">
        <w:rPr>
          <w:rFonts w:ascii="Arial" w:hAnsi="Arial" w:cs="Arial"/>
          <w:sz w:val="24"/>
          <w:szCs w:val="24"/>
        </w:rPr>
        <w:t>Dear</w:t>
      </w:r>
      <w:r w:rsidR="00012A75">
        <w:rPr>
          <w:rFonts w:ascii="Arial" w:hAnsi="Arial" w:cs="Arial"/>
          <w:sz w:val="24"/>
          <w:szCs w:val="24"/>
        </w:rPr>
        <w:t xml:space="preserve"> </w:t>
      </w:r>
      <w:r w:rsidR="007C55A0">
        <w:rPr>
          <w:rFonts w:ascii="Arial" w:hAnsi="Arial" w:cs="Arial"/>
          <w:sz w:val="24"/>
          <w:szCs w:val="24"/>
        </w:rPr>
        <w:t>Fraser</w:t>
      </w:r>
      <w:r w:rsidR="00445D14" w:rsidRPr="00501F23">
        <w:rPr>
          <w:rFonts w:ascii="Arial" w:hAnsi="Arial" w:cs="Arial"/>
          <w:sz w:val="24"/>
          <w:szCs w:val="24"/>
        </w:rPr>
        <w:t>,</w:t>
      </w:r>
    </w:p>
    <w:p w:rsidR="00CF03A5" w:rsidRPr="00CF03A5" w:rsidRDefault="00CF03A5" w:rsidP="00E47721">
      <w:pPr>
        <w:rPr>
          <w:rFonts w:ascii="Arial" w:hAnsi="Arial" w:cs="Arial"/>
          <w:sz w:val="24"/>
          <w:szCs w:val="24"/>
        </w:rPr>
      </w:pPr>
    </w:p>
    <w:p w:rsidR="00E47721" w:rsidRPr="00501F23" w:rsidRDefault="00E47721" w:rsidP="00E47721">
      <w:pPr>
        <w:rPr>
          <w:rFonts w:ascii="Arial" w:hAnsi="Arial" w:cs="Arial"/>
          <w:b/>
          <w:sz w:val="24"/>
          <w:szCs w:val="24"/>
        </w:rPr>
      </w:pPr>
      <w:r w:rsidRPr="00501F23">
        <w:rPr>
          <w:rFonts w:ascii="Arial" w:hAnsi="Arial" w:cs="Arial"/>
          <w:b/>
          <w:sz w:val="24"/>
          <w:szCs w:val="24"/>
        </w:rPr>
        <w:t>OFFICIAL INFORMATION ACT REQUEST</w:t>
      </w:r>
    </w:p>
    <w:p w:rsidR="00E47721" w:rsidRDefault="004758AD" w:rsidP="006B1FC1">
      <w:pPr>
        <w:jc w:val="both"/>
        <w:rPr>
          <w:rFonts w:ascii="Arial" w:hAnsi="Arial" w:cs="Arial"/>
          <w:sz w:val="24"/>
          <w:szCs w:val="24"/>
        </w:rPr>
      </w:pPr>
      <w:r w:rsidRPr="00501F23">
        <w:rPr>
          <w:rFonts w:ascii="Arial" w:hAnsi="Arial" w:cs="Arial"/>
          <w:sz w:val="24"/>
          <w:szCs w:val="24"/>
        </w:rPr>
        <w:t xml:space="preserve">This letter is in response to </w:t>
      </w:r>
      <w:r w:rsidR="00156F58" w:rsidRPr="00501F23">
        <w:rPr>
          <w:rFonts w:ascii="Arial" w:hAnsi="Arial" w:cs="Arial"/>
          <w:sz w:val="24"/>
          <w:szCs w:val="24"/>
        </w:rPr>
        <w:t xml:space="preserve">your </w:t>
      </w:r>
      <w:r w:rsidR="004F3F90">
        <w:rPr>
          <w:rFonts w:ascii="Arial" w:hAnsi="Arial" w:cs="Arial"/>
          <w:sz w:val="24"/>
          <w:szCs w:val="24"/>
        </w:rPr>
        <w:t>enquiry</w:t>
      </w:r>
      <w:r w:rsidR="00156F58" w:rsidRPr="00501F23">
        <w:rPr>
          <w:rFonts w:ascii="Arial" w:hAnsi="Arial" w:cs="Arial"/>
          <w:sz w:val="24"/>
          <w:szCs w:val="24"/>
        </w:rPr>
        <w:t xml:space="preserve"> </w:t>
      </w:r>
      <w:r w:rsidR="00E47721" w:rsidRPr="00501F23">
        <w:rPr>
          <w:rFonts w:ascii="Arial" w:hAnsi="Arial" w:cs="Arial"/>
          <w:sz w:val="24"/>
          <w:szCs w:val="24"/>
        </w:rPr>
        <w:t xml:space="preserve">to </w:t>
      </w:r>
      <w:r w:rsidR="00156F58" w:rsidRPr="00501F23">
        <w:rPr>
          <w:rFonts w:ascii="Arial" w:hAnsi="Arial" w:cs="Arial"/>
          <w:sz w:val="24"/>
          <w:szCs w:val="24"/>
        </w:rPr>
        <w:t>Lotto New Zealand</w:t>
      </w:r>
      <w:r w:rsidR="007C55A0">
        <w:rPr>
          <w:rFonts w:ascii="Arial" w:hAnsi="Arial" w:cs="Arial"/>
          <w:sz w:val="24"/>
          <w:szCs w:val="24"/>
        </w:rPr>
        <w:t xml:space="preserve"> </w:t>
      </w:r>
      <w:r w:rsidR="007C55A0" w:rsidRPr="001A77ED">
        <w:rPr>
          <w:rFonts w:ascii="Arial" w:hAnsi="Arial" w:cs="Arial"/>
          <w:sz w:val="24"/>
          <w:szCs w:val="24"/>
        </w:rPr>
        <w:t xml:space="preserve">on </w:t>
      </w:r>
      <w:r w:rsidR="001A77ED" w:rsidRPr="001A77ED">
        <w:rPr>
          <w:rFonts w:ascii="Arial" w:hAnsi="Arial" w:cs="Arial"/>
          <w:sz w:val="24"/>
          <w:szCs w:val="24"/>
        </w:rPr>
        <w:t>29</w:t>
      </w:r>
      <w:r w:rsidR="007C55A0" w:rsidRPr="001A77ED">
        <w:rPr>
          <w:rFonts w:ascii="Arial" w:hAnsi="Arial" w:cs="Arial"/>
          <w:sz w:val="24"/>
          <w:szCs w:val="24"/>
        </w:rPr>
        <w:t xml:space="preserve"> June, which</w:t>
      </w:r>
      <w:r w:rsidR="007C55A0">
        <w:rPr>
          <w:rFonts w:ascii="Arial" w:hAnsi="Arial" w:cs="Arial"/>
          <w:sz w:val="24"/>
          <w:szCs w:val="24"/>
        </w:rPr>
        <w:t xml:space="preserve"> was received on 30 August</w:t>
      </w:r>
      <w:r w:rsidR="00E47721" w:rsidRPr="00501F23">
        <w:rPr>
          <w:rFonts w:ascii="Arial" w:hAnsi="Arial" w:cs="Arial"/>
          <w:sz w:val="24"/>
          <w:szCs w:val="24"/>
        </w:rPr>
        <w:t>. You</w:t>
      </w:r>
      <w:r w:rsidR="00AD0E68" w:rsidRPr="00501F23">
        <w:rPr>
          <w:rFonts w:ascii="Arial" w:hAnsi="Arial" w:cs="Arial"/>
          <w:sz w:val="24"/>
          <w:szCs w:val="24"/>
        </w:rPr>
        <w:t xml:space="preserve">r request </w:t>
      </w:r>
      <w:r w:rsidR="0031610A">
        <w:rPr>
          <w:rFonts w:ascii="Arial" w:hAnsi="Arial" w:cs="Arial"/>
          <w:sz w:val="24"/>
          <w:szCs w:val="24"/>
        </w:rPr>
        <w:t xml:space="preserve">and our responses are </w:t>
      </w:r>
      <w:r w:rsidR="00AD0E68" w:rsidRPr="00501F23">
        <w:rPr>
          <w:rFonts w:ascii="Arial" w:hAnsi="Arial" w:cs="Arial"/>
          <w:sz w:val="24"/>
          <w:szCs w:val="24"/>
        </w:rPr>
        <w:t>as follows</w:t>
      </w:r>
      <w:r w:rsidR="00E47721" w:rsidRPr="00501F23">
        <w:rPr>
          <w:rFonts w:ascii="Arial" w:hAnsi="Arial" w:cs="Arial"/>
          <w:sz w:val="24"/>
          <w:szCs w:val="24"/>
        </w:rPr>
        <w:t>:</w:t>
      </w:r>
    </w:p>
    <w:p w:rsidR="00834AD2" w:rsidRDefault="007C55A0" w:rsidP="007C55A0">
      <w:pPr>
        <w:pStyle w:val="ListParagraph"/>
        <w:numPr>
          <w:ilvl w:val="0"/>
          <w:numId w:val="31"/>
        </w:numPr>
        <w:jc w:val="both"/>
        <w:rPr>
          <w:rFonts w:ascii="Arial" w:hAnsi="Arial" w:cs="Arial"/>
          <w:b/>
          <w:i/>
          <w:sz w:val="24"/>
          <w:szCs w:val="24"/>
        </w:rPr>
      </w:pPr>
      <w:r>
        <w:rPr>
          <w:rFonts w:ascii="Arial" w:hAnsi="Arial" w:cs="Arial"/>
          <w:b/>
          <w:i/>
          <w:sz w:val="24"/>
          <w:szCs w:val="24"/>
        </w:rPr>
        <w:t>All the information you hold on the demographics of your customers, including but not limited to household income, age and gender.</w:t>
      </w:r>
    </w:p>
    <w:p w:rsidR="001A740D" w:rsidRDefault="001A740D" w:rsidP="001A740D">
      <w:pPr>
        <w:jc w:val="both"/>
        <w:rPr>
          <w:rFonts w:ascii="Arial" w:hAnsi="Arial" w:cs="Arial"/>
          <w:sz w:val="24"/>
          <w:szCs w:val="24"/>
        </w:rPr>
      </w:pPr>
      <w:r>
        <w:rPr>
          <w:rFonts w:ascii="Arial" w:hAnsi="Arial" w:cs="Arial"/>
          <w:sz w:val="24"/>
          <w:szCs w:val="24"/>
        </w:rPr>
        <w:br/>
        <w:t>Lotto NZ collects limited demographic information regarding our MyLotto players, including gender, age and location (region). This information is provided below:</w:t>
      </w:r>
    </w:p>
    <w:tbl>
      <w:tblPr>
        <w:tblStyle w:val="TableGrid"/>
        <w:tblW w:w="0" w:type="auto"/>
        <w:tblLook w:val="04A0" w:firstRow="1" w:lastRow="0" w:firstColumn="1" w:lastColumn="0" w:noHBand="0" w:noVBand="1"/>
      </w:tblPr>
      <w:tblGrid>
        <w:gridCol w:w="1555"/>
        <w:gridCol w:w="1559"/>
      </w:tblGrid>
      <w:tr w:rsidR="001A740D" w:rsidTr="00B82E9A">
        <w:tc>
          <w:tcPr>
            <w:tcW w:w="3114" w:type="dxa"/>
            <w:gridSpan w:val="2"/>
          </w:tcPr>
          <w:p w:rsidR="001A740D" w:rsidRPr="00B82E9A" w:rsidRDefault="001A740D" w:rsidP="00B82E9A">
            <w:pPr>
              <w:jc w:val="center"/>
              <w:rPr>
                <w:rFonts w:ascii="Arial" w:hAnsi="Arial" w:cs="Arial"/>
                <w:b/>
                <w:sz w:val="24"/>
                <w:szCs w:val="24"/>
              </w:rPr>
            </w:pPr>
            <w:r w:rsidRPr="00B82E9A">
              <w:rPr>
                <w:rFonts w:ascii="Arial" w:hAnsi="Arial" w:cs="Arial"/>
                <w:b/>
                <w:sz w:val="24"/>
                <w:szCs w:val="24"/>
              </w:rPr>
              <w:t>Gender</w:t>
            </w:r>
          </w:p>
        </w:tc>
      </w:tr>
      <w:tr w:rsidR="001A740D" w:rsidTr="00B82E9A">
        <w:tc>
          <w:tcPr>
            <w:tcW w:w="1555" w:type="dxa"/>
          </w:tcPr>
          <w:p w:rsidR="001A740D" w:rsidRDefault="001A740D" w:rsidP="001A740D">
            <w:pPr>
              <w:jc w:val="both"/>
              <w:rPr>
                <w:rFonts w:ascii="Arial" w:hAnsi="Arial" w:cs="Arial"/>
                <w:sz w:val="24"/>
                <w:szCs w:val="24"/>
              </w:rPr>
            </w:pPr>
            <w:r>
              <w:rPr>
                <w:rFonts w:ascii="Arial" w:hAnsi="Arial" w:cs="Arial"/>
                <w:sz w:val="24"/>
                <w:szCs w:val="24"/>
              </w:rPr>
              <w:t>Female</w:t>
            </w:r>
          </w:p>
        </w:tc>
        <w:tc>
          <w:tcPr>
            <w:tcW w:w="1559" w:type="dxa"/>
          </w:tcPr>
          <w:p w:rsidR="001A740D" w:rsidRDefault="00B82E9A" w:rsidP="001A740D">
            <w:pPr>
              <w:jc w:val="both"/>
              <w:rPr>
                <w:rFonts w:ascii="Arial" w:hAnsi="Arial" w:cs="Arial"/>
                <w:sz w:val="24"/>
                <w:szCs w:val="24"/>
              </w:rPr>
            </w:pPr>
            <w:r>
              <w:rPr>
                <w:rFonts w:ascii="Arial" w:hAnsi="Arial" w:cs="Arial"/>
                <w:sz w:val="24"/>
                <w:szCs w:val="24"/>
              </w:rPr>
              <w:t>47.6%</w:t>
            </w:r>
          </w:p>
        </w:tc>
      </w:tr>
      <w:tr w:rsidR="001A740D" w:rsidTr="00B82E9A">
        <w:tc>
          <w:tcPr>
            <w:tcW w:w="1555" w:type="dxa"/>
          </w:tcPr>
          <w:p w:rsidR="001A740D" w:rsidRDefault="001A740D" w:rsidP="001A740D">
            <w:pPr>
              <w:jc w:val="both"/>
              <w:rPr>
                <w:rFonts w:ascii="Arial" w:hAnsi="Arial" w:cs="Arial"/>
                <w:sz w:val="24"/>
                <w:szCs w:val="24"/>
              </w:rPr>
            </w:pPr>
            <w:r>
              <w:rPr>
                <w:rFonts w:ascii="Arial" w:hAnsi="Arial" w:cs="Arial"/>
                <w:sz w:val="24"/>
                <w:szCs w:val="24"/>
              </w:rPr>
              <w:t>Male</w:t>
            </w:r>
          </w:p>
        </w:tc>
        <w:tc>
          <w:tcPr>
            <w:tcW w:w="1559" w:type="dxa"/>
          </w:tcPr>
          <w:p w:rsidR="001A740D" w:rsidRDefault="00B82E9A" w:rsidP="001A740D">
            <w:pPr>
              <w:jc w:val="both"/>
              <w:rPr>
                <w:rFonts w:ascii="Arial" w:hAnsi="Arial" w:cs="Arial"/>
                <w:sz w:val="24"/>
                <w:szCs w:val="24"/>
              </w:rPr>
            </w:pPr>
            <w:r>
              <w:rPr>
                <w:rFonts w:ascii="Arial" w:hAnsi="Arial" w:cs="Arial"/>
                <w:sz w:val="24"/>
                <w:szCs w:val="24"/>
              </w:rPr>
              <w:t>50.3%</w:t>
            </w:r>
          </w:p>
        </w:tc>
      </w:tr>
      <w:tr w:rsidR="001A740D" w:rsidTr="00B82E9A">
        <w:tc>
          <w:tcPr>
            <w:tcW w:w="1555" w:type="dxa"/>
          </w:tcPr>
          <w:p w:rsidR="001A740D" w:rsidRDefault="001A740D" w:rsidP="001A740D">
            <w:pPr>
              <w:jc w:val="both"/>
              <w:rPr>
                <w:rFonts w:ascii="Arial" w:hAnsi="Arial" w:cs="Arial"/>
                <w:sz w:val="24"/>
                <w:szCs w:val="24"/>
              </w:rPr>
            </w:pPr>
            <w:r>
              <w:rPr>
                <w:rFonts w:ascii="Arial" w:hAnsi="Arial" w:cs="Arial"/>
                <w:sz w:val="24"/>
                <w:szCs w:val="24"/>
              </w:rPr>
              <w:t>Unknown</w:t>
            </w:r>
          </w:p>
        </w:tc>
        <w:tc>
          <w:tcPr>
            <w:tcW w:w="1559" w:type="dxa"/>
          </w:tcPr>
          <w:p w:rsidR="001A740D" w:rsidRDefault="00B82E9A" w:rsidP="001A740D">
            <w:pPr>
              <w:jc w:val="both"/>
              <w:rPr>
                <w:rFonts w:ascii="Arial" w:hAnsi="Arial" w:cs="Arial"/>
                <w:sz w:val="24"/>
                <w:szCs w:val="24"/>
              </w:rPr>
            </w:pPr>
            <w:r>
              <w:rPr>
                <w:rFonts w:ascii="Arial" w:hAnsi="Arial" w:cs="Arial"/>
                <w:sz w:val="24"/>
                <w:szCs w:val="24"/>
              </w:rPr>
              <w:t>2.1%</w:t>
            </w:r>
          </w:p>
        </w:tc>
      </w:tr>
    </w:tbl>
    <w:tbl>
      <w:tblPr>
        <w:tblStyle w:val="TableGrid"/>
        <w:tblpPr w:leftFromText="180" w:rightFromText="180" w:vertAnchor="text" w:horzAnchor="page" w:tblpX="5326" w:tblpY="-1125"/>
        <w:tblW w:w="0" w:type="auto"/>
        <w:tblLook w:val="04A0" w:firstRow="1" w:lastRow="0" w:firstColumn="1" w:lastColumn="0" w:noHBand="0" w:noVBand="1"/>
      </w:tblPr>
      <w:tblGrid>
        <w:gridCol w:w="2689"/>
        <w:gridCol w:w="1417"/>
      </w:tblGrid>
      <w:tr w:rsidR="00B82E9A" w:rsidTr="00B82E9A">
        <w:tc>
          <w:tcPr>
            <w:tcW w:w="4106" w:type="dxa"/>
            <w:gridSpan w:val="2"/>
          </w:tcPr>
          <w:p w:rsidR="00B82E9A" w:rsidRPr="00B82E9A" w:rsidRDefault="00B82E9A" w:rsidP="00B82E9A">
            <w:pPr>
              <w:jc w:val="center"/>
              <w:rPr>
                <w:rFonts w:ascii="Arial" w:hAnsi="Arial" w:cs="Arial"/>
                <w:b/>
                <w:sz w:val="24"/>
                <w:szCs w:val="24"/>
              </w:rPr>
            </w:pPr>
            <w:r>
              <w:rPr>
                <w:rFonts w:ascii="Arial" w:hAnsi="Arial" w:cs="Arial"/>
                <w:b/>
                <w:sz w:val="24"/>
                <w:szCs w:val="24"/>
              </w:rPr>
              <w:t>Region</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Auckland</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39.6%</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Bay of Plenty</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6.3%</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Canterbury</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12.4%</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Chatham Islands</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0.0%</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Gisborne</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0.8%</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Hawkes Bay</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2.8%</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Manawatu-Whanganui</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4.1%</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Marlborough</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0.9%</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Nelson</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1.3%</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Northland</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3.1%</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Otago</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4.5%</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Southland</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1.8%</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Taranaki</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2.0%</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Tasman</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0.4%</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Waikato</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8.3%</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Wellington</w:t>
            </w:r>
          </w:p>
        </w:tc>
        <w:tc>
          <w:tcPr>
            <w:tcW w:w="1417" w:type="dxa"/>
          </w:tcPr>
          <w:p w:rsidR="00B82E9A" w:rsidRDefault="00B82E9A" w:rsidP="00B82E9A">
            <w:pPr>
              <w:jc w:val="both"/>
              <w:rPr>
                <w:rFonts w:ascii="Arial" w:hAnsi="Arial" w:cs="Arial"/>
                <w:sz w:val="24"/>
                <w:szCs w:val="24"/>
              </w:rPr>
            </w:pPr>
            <w:r>
              <w:rPr>
                <w:rFonts w:ascii="Arial" w:hAnsi="Arial" w:cs="Arial"/>
                <w:sz w:val="24"/>
                <w:szCs w:val="24"/>
              </w:rPr>
              <w:t>11.1%</w:t>
            </w:r>
          </w:p>
        </w:tc>
      </w:tr>
      <w:tr w:rsidR="00B82E9A" w:rsidTr="00B82E9A">
        <w:tc>
          <w:tcPr>
            <w:tcW w:w="2689" w:type="dxa"/>
          </w:tcPr>
          <w:p w:rsidR="00B82E9A" w:rsidRDefault="00B82E9A" w:rsidP="00B82E9A">
            <w:pPr>
              <w:jc w:val="both"/>
              <w:rPr>
                <w:rFonts w:ascii="Arial" w:hAnsi="Arial" w:cs="Arial"/>
                <w:sz w:val="24"/>
                <w:szCs w:val="24"/>
              </w:rPr>
            </w:pPr>
            <w:r>
              <w:rPr>
                <w:rFonts w:ascii="Arial" w:hAnsi="Arial" w:cs="Arial"/>
                <w:sz w:val="24"/>
                <w:szCs w:val="24"/>
              </w:rPr>
              <w:t>West Coast</w:t>
            </w:r>
          </w:p>
        </w:tc>
        <w:tc>
          <w:tcPr>
            <w:tcW w:w="1417" w:type="dxa"/>
          </w:tcPr>
          <w:p w:rsidR="00B82E9A" w:rsidRPr="00114A7C" w:rsidRDefault="00114A7C" w:rsidP="00114A7C">
            <w:pPr>
              <w:jc w:val="both"/>
              <w:rPr>
                <w:rFonts w:ascii="Arial" w:hAnsi="Arial" w:cs="Arial"/>
                <w:sz w:val="24"/>
                <w:szCs w:val="24"/>
              </w:rPr>
            </w:pPr>
            <w:r>
              <w:rPr>
                <w:rFonts w:ascii="Arial" w:hAnsi="Arial" w:cs="Arial"/>
                <w:sz w:val="24"/>
                <w:szCs w:val="24"/>
              </w:rPr>
              <w:t>0.6%</w:t>
            </w:r>
          </w:p>
        </w:tc>
      </w:tr>
    </w:tbl>
    <w:p w:rsidR="00B82E9A" w:rsidRDefault="00B82E9A" w:rsidP="001A740D">
      <w:pPr>
        <w:jc w:val="both"/>
        <w:rPr>
          <w:rFonts w:ascii="Arial" w:hAnsi="Arial" w:cs="Arial"/>
          <w:sz w:val="24"/>
          <w:szCs w:val="24"/>
        </w:rPr>
      </w:pPr>
    </w:p>
    <w:tbl>
      <w:tblPr>
        <w:tblStyle w:val="TableGrid"/>
        <w:tblW w:w="0" w:type="auto"/>
        <w:tblLook w:val="04A0" w:firstRow="1" w:lastRow="0" w:firstColumn="1" w:lastColumn="0" w:noHBand="0" w:noVBand="1"/>
      </w:tblPr>
      <w:tblGrid>
        <w:gridCol w:w="1555"/>
        <w:gridCol w:w="1559"/>
      </w:tblGrid>
      <w:tr w:rsidR="00B82E9A" w:rsidTr="00B82E9A">
        <w:tc>
          <w:tcPr>
            <w:tcW w:w="3114" w:type="dxa"/>
            <w:gridSpan w:val="2"/>
          </w:tcPr>
          <w:p w:rsidR="00B82E9A" w:rsidRPr="00B82E9A" w:rsidRDefault="00B82E9A" w:rsidP="00B82E9A">
            <w:pPr>
              <w:jc w:val="center"/>
              <w:rPr>
                <w:rFonts w:ascii="Arial" w:hAnsi="Arial" w:cs="Arial"/>
                <w:b/>
                <w:sz w:val="24"/>
                <w:szCs w:val="24"/>
              </w:rPr>
            </w:pPr>
            <w:r w:rsidRPr="00B82E9A">
              <w:rPr>
                <w:rFonts w:ascii="Arial" w:hAnsi="Arial" w:cs="Arial"/>
                <w:b/>
                <w:sz w:val="24"/>
                <w:szCs w:val="24"/>
              </w:rPr>
              <w:t>Age</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Under 18</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0.5%</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18-19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0.7%</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20-29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21.2%</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30-39</w:t>
            </w:r>
          </w:p>
        </w:tc>
        <w:tc>
          <w:tcPr>
            <w:tcW w:w="1559" w:type="dxa"/>
          </w:tcPr>
          <w:p w:rsidR="00B82E9A" w:rsidRDefault="00114A7C" w:rsidP="001A740D">
            <w:pPr>
              <w:jc w:val="both"/>
              <w:rPr>
                <w:rFonts w:ascii="Arial" w:hAnsi="Arial" w:cs="Arial"/>
                <w:sz w:val="24"/>
                <w:szCs w:val="24"/>
              </w:rPr>
            </w:pPr>
            <w:r>
              <w:rPr>
                <w:rFonts w:ascii="Arial" w:hAnsi="Arial" w:cs="Arial"/>
                <w:sz w:val="24"/>
                <w:szCs w:val="24"/>
              </w:rPr>
              <w:t>27.4</w:t>
            </w:r>
            <w:r w:rsidR="00B82E9A">
              <w:rPr>
                <w:rFonts w:ascii="Arial" w:hAnsi="Arial" w:cs="Arial"/>
                <w:sz w:val="24"/>
                <w:szCs w:val="24"/>
              </w:rPr>
              <w:t>%</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40-49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21.3%</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50-59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15.9%</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60-69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9.2%</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70-79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3.3%</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80-89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0.5%</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90-99</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0.0%</w:t>
            </w:r>
          </w:p>
        </w:tc>
      </w:tr>
      <w:tr w:rsidR="00B82E9A" w:rsidTr="00B82E9A">
        <w:tc>
          <w:tcPr>
            <w:tcW w:w="1555" w:type="dxa"/>
          </w:tcPr>
          <w:p w:rsidR="00B82E9A" w:rsidRDefault="00B82E9A" w:rsidP="001A740D">
            <w:pPr>
              <w:jc w:val="both"/>
              <w:rPr>
                <w:rFonts w:ascii="Arial" w:hAnsi="Arial" w:cs="Arial"/>
                <w:sz w:val="24"/>
                <w:szCs w:val="24"/>
              </w:rPr>
            </w:pPr>
            <w:r>
              <w:rPr>
                <w:rFonts w:ascii="Arial" w:hAnsi="Arial" w:cs="Arial"/>
                <w:sz w:val="24"/>
                <w:szCs w:val="24"/>
              </w:rPr>
              <w:t>100+</w:t>
            </w:r>
          </w:p>
        </w:tc>
        <w:tc>
          <w:tcPr>
            <w:tcW w:w="1559" w:type="dxa"/>
          </w:tcPr>
          <w:p w:rsidR="00B82E9A" w:rsidRDefault="00B82E9A" w:rsidP="001A740D">
            <w:pPr>
              <w:jc w:val="both"/>
              <w:rPr>
                <w:rFonts w:ascii="Arial" w:hAnsi="Arial" w:cs="Arial"/>
                <w:sz w:val="24"/>
                <w:szCs w:val="24"/>
              </w:rPr>
            </w:pPr>
            <w:r>
              <w:rPr>
                <w:rFonts w:ascii="Arial" w:hAnsi="Arial" w:cs="Arial"/>
                <w:sz w:val="24"/>
                <w:szCs w:val="24"/>
              </w:rPr>
              <w:t>0.0%</w:t>
            </w:r>
          </w:p>
        </w:tc>
      </w:tr>
    </w:tbl>
    <w:p w:rsidR="00BE69CA" w:rsidRDefault="00BE69CA" w:rsidP="001A740D">
      <w:pPr>
        <w:jc w:val="both"/>
        <w:rPr>
          <w:rFonts w:ascii="Arial" w:hAnsi="Arial" w:cs="Arial"/>
          <w:sz w:val="24"/>
          <w:szCs w:val="24"/>
        </w:rPr>
      </w:pPr>
      <w:r>
        <w:rPr>
          <w:rFonts w:ascii="Arial" w:hAnsi="Arial" w:cs="Arial"/>
          <w:sz w:val="24"/>
          <w:szCs w:val="24"/>
        </w:rPr>
        <w:br/>
      </w:r>
      <w:bookmarkStart w:id="0" w:name="_GoBack"/>
    </w:p>
    <w:bookmarkEnd w:id="0"/>
    <w:p w:rsidR="00CA4031" w:rsidRPr="00CA4031" w:rsidRDefault="00CA4031" w:rsidP="00CA4031">
      <w:pPr>
        <w:jc w:val="both"/>
        <w:rPr>
          <w:rFonts w:ascii="Arial" w:hAnsi="Arial" w:cs="Arial"/>
          <w:sz w:val="24"/>
          <w:szCs w:val="24"/>
        </w:rPr>
      </w:pPr>
      <w:r w:rsidRPr="00CA4031">
        <w:rPr>
          <w:rFonts w:ascii="Arial" w:hAnsi="Arial" w:cs="Arial"/>
          <w:sz w:val="24"/>
          <w:szCs w:val="24"/>
        </w:rPr>
        <w:t xml:space="preserve">Lotto NZ does not collect demographic information from our </w:t>
      </w:r>
      <w:r w:rsidR="00DC6D32">
        <w:rPr>
          <w:rFonts w:ascii="Arial" w:hAnsi="Arial" w:cs="Arial"/>
          <w:sz w:val="24"/>
          <w:szCs w:val="24"/>
        </w:rPr>
        <w:t xml:space="preserve">retail </w:t>
      </w:r>
      <w:r w:rsidRPr="00CA4031">
        <w:rPr>
          <w:rFonts w:ascii="Arial" w:hAnsi="Arial" w:cs="Arial"/>
          <w:sz w:val="24"/>
          <w:szCs w:val="24"/>
        </w:rPr>
        <w:t>players, as in-store purchases are anonymous.</w:t>
      </w:r>
    </w:p>
    <w:p w:rsidR="00CA4031" w:rsidRPr="00CA4031" w:rsidRDefault="00CA4031" w:rsidP="00CA4031">
      <w:pPr>
        <w:jc w:val="both"/>
        <w:rPr>
          <w:rFonts w:ascii="Arial" w:hAnsi="Arial" w:cs="Arial"/>
          <w:sz w:val="24"/>
          <w:szCs w:val="24"/>
        </w:rPr>
      </w:pPr>
      <w:r w:rsidRPr="00CA4031">
        <w:rPr>
          <w:rFonts w:ascii="Arial" w:hAnsi="Arial" w:cs="Arial"/>
          <w:sz w:val="24"/>
          <w:szCs w:val="24"/>
        </w:rPr>
        <w:t xml:space="preserve">While we engage research agencies to poll members of the public about their play behaviour, release of this data is withheld under section 9(2)(b)(ii) of the Official Information Act 1982 as it is considered commercially sensitive. </w:t>
      </w:r>
    </w:p>
    <w:p w:rsidR="00CA4031" w:rsidRPr="00CA4031" w:rsidRDefault="00CA4031" w:rsidP="00CA4031">
      <w:pPr>
        <w:jc w:val="both"/>
        <w:rPr>
          <w:rFonts w:ascii="Arial" w:hAnsi="Arial" w:cs="Arial"/>
          <w:sz w:val="24"/>
          <w:szCs w:val="24"/>
        </w:rPr>
      </w:pPr>
      <w:r w:rsidRPr="00CA4031">
        <w:rPr>
          <w:rFonts w:ascii="Arial" w:hAnsi="Arial" w:cs="Arial"/>
          <w:sz w:val="24"/>
          <w:szCs w:val="24"/>
        </w:rPr>
        <w:t xml:space="preserve">Please note that you have the right to seek a review by the Ombudsman of Lotto NZ’s decision to refuse, as outlined above, the information requested.  </w:t>
      </w:r>
    </w:p>
    <w:p w:rsidR="007C55A0" w:rsidRDefault="007C55A0" w:rsidP="007C55A0">
      <w:pPr>
        <w:pStyle w:val="ListParagraph"/>
        <w:numPr>
          <w:ilvl w:val="0"/>
          <w:numId w:val="31"/>
        </w:numPr>
        <w:jc w:val="both"/>
        <w:rPr>
          <w:rFonts w:ascii="Arial" w:hAnsi="Arial" w:cs="Arial"/>
          <w:b/>
          <w:i/>
          <w:sz w:val="24"/>
          <w:szCs w:val="24"/>
        </w:rPr>
      </w:pPr>
      <w:r>
        <w:rPr>
          <w:rFonts w:ascii="Arial" w:hAnsi="Arial" w:cs="Arial"/>
          <w:b/>
          <w:i/>
          <w:sz w:val="24"/>
          <w:szCs w:val="24"/>
        </w:rPr>
        <w:lastRenderedPageBreak/>
        <w:t>The average weekly spend per player in your offline and online products</w:t>
      </w:r>
    </w:p>
    <w:p w:rsidR="008D7524" w:rsidRDefault="008D7524" w:rsidP="007C55A0">
      <w:pPr>
        <w:jc w:val="both"/>
        <w:rPr>
          <w:rFonts w:ascii="Arial" w:hAnsi="Arial" w:cs="Arial"/>
          <w:sz w:val="24"/>
          <w:szCs w:val="24"/>
        </w:rPr>
      </w:pPr>
      <w:r>
        <w:rPr>
          <w:rFonts w:ascii="Arial" w:hAnsi="Arial" w:cs="Arial"/>
          <w:b/>
          <w:sz w:val="24"/>
          <w:szCs w:val="24"/>
        </w:rPr>
        <w:br/>
      </w:r>
      <w:r w:rsidR="00DC6D32">
        <w:rPr>
          <w:rFonts w:ascii="Arial" w:hAnsi="Arial" w:cs="Arial"/>
          <w:sz w:val="24"/>
          <w:szCs w:val="24"/>
        </w:rPr>
        <w:t>The average weekly spend per player through our website,</w:t>
      </w:r>
      <w:r>
        <w:rPr>
          <w:rFonts w:ascii="Arial" w:hAnsi="Arial" w:cs="Arial"/>
          <w:sz w:val="24"/>
          <w:szCs w:val="24"/>
        </w:rPr>
        <w:t xml:space="preserve"> MyLotto, is $23.80. This figure is based off an average Powerball jackpot week. </w:t>
      </w:r>
    </w:p>
    <w:p w:rsidR="00D206DC" w:rsidRPr="009069E7" w:rsidRDefault="008D7524" w:rsidP="007C55A0">
      <w:pPr>
        <w:jc w:val="both"/>
        <w:rPr>
          <w:rFonts w:ascii="Arial" w:hAnsi="Arial" w:cs="Arial"/>
          <w:sz w:val="24"/>
          <w:szCs w:val="24"/>
        </w:rPr>
      </w:pPr>
      <w:r w:rsidRPr="009069E7">
        <w:rPr>
          <w:rFonts w:ascii="Arial" w:hAnsi="Arial" w:cs="Arial"/>
          <w:sz w:val="24"/>
          <w:szCs w:val="24"/>
        </w:rPr>
        <w:t xml:space="preserve">As </w:t>
      </w:r>
      <w:r w:rsidR="00DC6D32" w:rsidRPr="009069E7">
        <w:rPr>
          <w:rFonts w:ascii="Arial" w:hAnsi="Arial" w:cs="Arial"/>
          <w:sz w:val="24"/>
          <w:szCs w:val="24"/>
        </w:rPr>
        <w:t>retail</w:t>
      </w:r>
      <w:r w:rsidRPr="009069E7">
        <w:rPr>
          <w:rFonts w:ascii="Arial" w:hAnsi="Arial" w:cs="Arial"/>
          <w:sz w:val="24"/>
          <w:szCs w:val="24"/>
        </w:rPr>
        <w:t xml:space="preserve"> purchases are anonymous, we do not hold exact figures of the average weekly spend for in-store players. </w:t>
      </w:r>
      <w:r w:rsidR="00DC6D32" w:rsidRPr="009069E7">
        <w:rPr>
          <w:rFonts w:ascii="Arial" w:hAnsi="Arial" w:cs="Arial"/>
          <w:sz w:val="24"/>
          <w:szCs w:val="24"/>
        </w:rPr>
        <w:t>Instead</w:t>
      </w:r>
      <w:r w:rsidRPr="009069E7">
        <w:rPr>
          <w:rFonts w:ascii="Arial" w:hAnsi="Arial" w:cs="Arial"/>
          <w:sz w:val="24"/>
          <w:szCs w:val="24"/>
        </w:rPr>
        <w:t xml:space="preserve">, </w:t>
      </w:r>
      <w:r w:rsidR="00DC6D32" w:rsidRPr="009069E7">
        <w:rPr>
          <w:rFonts w:ascii="Arial" w:hAnsi="Arial" w:cs="Arial"/>
          <w:sz w:val="24"/>
          <w:szCs w:val="24"/>
        </w:rPr>
        <w:t>the best</w:t>
      </w:r>
      <w:r w:rsidR="009069E7" w:rsidRPr="009069E7">
        <w:rPr>
          <w:rFonts w:ascii="Arial" w:hAnsi="Arial" w:cs="Arial"/>
          <w:sz w:val="24"/>
          <w:szCs w:val="24"/>
        </w:rPr>
        <w:t xml:space="preserve"> way to estimate this figure fo</w:t>
      </w:r>
      <w:r w:rsidR="00DC6D32" w:rsidRPr="009069E7">
        <w:rPr>
          <w:rFonts w:ascii="Arial" w:hAnsi="Arial" w:cs="Arial"/>
          <w:sz w:val="24"/>
          <w:szCs w:val="24"/>
        </w:rPr>
        <w:t xml:space="preserve">r our in-store players is to </w:t>
      </w:r>
      <w:r w:rsidRPr="009069E7">
        <w:rPr>
          <w:rFonts w:ascii="Arial" w:hAnsi="Arial" w:cs="Arial"/>
          <w:sz w:val="24"/>
          <w:szCs w:val="24"/>
        </w:rPr>
        <w:t>look at the average spend per retail transaction</w:t>
      </w:r>
      <w:r w:rsidR="00D206DC" w:rsidRPr="009069E7">
        <w:rPr>
          <w:rFonts w:ascii="Arial" w:hAnsi="Arial" w:cs="Arial"/>
          <w:sz w:val="24"/>
          <w:szCs w:val="24"/>
        </w:rPr>
        <w:t xml:space="preserve">. </w:t>
      </w:r>
    </w:p>
    <w:p w:rsidR="009F08BA" w:rsidRPr="009069E7" w:rsidRDefault="00D206DC" w:rsidP="007C55A0">
      <w:pPr>
        <w:jc w:val="both"/>
        <w:rPr>
          <w:rFonts w:ascii="Arial" w:hAnsi="Arial" w:cs="Arial"/>
          <w:sz w:val="24"/>
          <w:szCs w:val="24"/>
        </w:rPr>
      </w:pPr>
      <w:r w:rsidRPr="009069E7">
        <w:rPr>
          <w:rFonts w:ascii="Arial" w:hAnsi="Arial" w:cs="Arial"/>
          <w:sz w:val="24"/>
          <w:szCs w:val="24"/>
        </w:rPr>
        <w:t xml:space="preserve">The average spend per retail transaction is $15.70. This figure is based off an average Powerball jackpot week. </w:t>
      </w:r>
    </w:p>
    <w:p w:rsidR="007C55A0" w:rsidRPr="00D206DC" w:rsidRDefault="007C55A0" w:rsidP="007C55A0">
      <w:pPr>
        <w:pStyle w:val="ListParagraph"/>
        <w:numPr>
          <w:ilvl w:val="0"/>
          <w:numId w:val="31"/>
        </w:numPr>
        <w:jc w:val="both"/>
        <w:rPr>
          <w:rFonts w:ascii="Arial" w:hAnsi="Arial" w:cs="Arial"/>
          <w:b/>
          <w:i/>
          <w:sz w:val="24"/>
          <w:szCs w:val="24"/>
        </w:rPr>
      </w:pPr>
      <w:r w:rsidRPr="00D206DC">
        <w:rPr>
          <w:rFonts w:ascii="Arial" w:hAnsi="Arial" w:cs="Arial"/>
          <w:b/>
          <w:i/>
          <w:sz w:val="24"/>
          <w:szCs w:val="24"/>
        </w:rPr>
        <w:t>The total number of players in your offline and online products</w:t>
      </w:r>
      <w:r w:rsidRPr="00D206DC">
        <w:rPr>
          <w:rFonts w:ascii="Arial" w:hAnsi="Arial" w:cs="Arial"/>
          <w:b/>
          <w:sz w:val="24"/>
          <w:szCs w:val="24"/>
        </w:rPr>
        <w:t xml:space="preserve"> </w:t>
      </w:r>
    </w:p>
    <w:p w:rsidR="007C55A0" w:rsidRPr="00D206DC" w:rsidRDefault="007C55A0" w:rsidP="007C55A0">
      <w:pPr>
        <w:jc w:val="both"/>
        <w:rPr>
          <w:rFonts w:ascii="Arial" w:hAnsi="Arial" w:cs="Arial"/>
          <w:sz w:val="24"/>
          <w:szCs w:val="24"/>
        </w:rPr>
      </w:pPr>
      <w:r w:rsidRPr="00D206DC">
        <w:rPr>
          <w:rFonts w:ascii="Arial" w:hAnsi="Arial" w:cs="Arial"/>
          <w:b/>
          <w:sz w:val="24"/>
          <w:szCs w:val="24"/>
        </w:rPr>
        <w:br/>
      </w:r>
      <w:r w:rsidRPr="00D206DC">
        <w:rPr>
          <w:rFonts w:ascii="Arial" w:hAnsi="Arial" w:cs="Arial"/>
          <w:sz w:val="24"/>
          <w:szCs w:val="24"/>
        </w:rPr>
        <w:t xml:space="preserve">As at 31 July 2018, </w:t>
      </w:r>
      <w:r w:rsidR="00D206DC" w:rsidRPr="00D206DC">
        <w:rPr>
          <w:rFonts w:ascii="Arial" w:hAnsi="Arial" w:cs="Arial"/>
          <w:sz w:val="24"/>
          <w:szCs w:val="24"/>
        </w:rPr>
        <w:t>there were</w:t>
      </w:r>
      <w:r w:rsidRPr="00D206DC">
        <w:rPr>
          <w:rFonts w:ascii="Arial" w:hAnsi="Arial" w:cs="Arial"/>
          <w:sz w:val="24"/>
          <w:szCs w:val="24"/>
        </w:rPr>
        <w:t xml:space="preserve"> 747,337 customers </w:t>
      </w:r>
      <w:r w:rsidR="00D206DC" w:rsidRPr="00D206DC">
        <w:rPr>
          <w:rFonts w:ascii="Arial" w:hAnsi="Arial" w:cs="Arial"/>
          <w:sz w:val="24"/>
          <w:szCs w:val="24"/>
        </w:rPr>
        <w:t xml:space="preserve">with a registered MyLotto account. </w:t>
      </w:r>
      <w:r w:rsidRPr="00D206DC">
        <w:rPr>
          <w:rFonts w:ascii="Arial" w:hAnsi="Arial" w:cs="Arial"/>
          <w:sz w:val="24"/>
          <w:szCs w:val="24"/>
        </w:rPr>
        <w:t xml:space="preserve"> </w:t>
      </w:r>
    </w:p>
    <w:p w:rsidR="00D206DC" w:rsidRPr="007C55A0" w:rsidRDefault="00D206DC" w:rsidP="00D206DC">
      <w:pPr>
        <w:jc w:val="both"/>
        <w:rPr>
          <w:rFonts w:ascii="Arial" w:hAnsi="Arial" w:cs="Arial"/>
          <w:sz w:val="24"/>
          <w:szCs w:val="24"/>
        </w:rPr>
      </w:pPr>
      <w:r>
        <w:rPr>
          <w:rFonts w:ascii="Arial" w:hAnsi="Arial" w:cs="Arial"/>
          <w:sz w:val="24"/>
          <w:szCs w:val="24"/>
        </w:rPr>
        <w:t>Please be aware that a</w:t>
      </w:r>
      <w:r w:rsidRPr="00D206DC">
        <w:rPr>
          <w:rFonts w:ascii="Arial" w:hAnsi="Arial" w:cs="Arial"/>
          <w:sz w:val="24"/>
          <w:szCs w:val="24"/>
        </w:rPr>
        <w:t>s retail purchases are anonymous, we do not hold any information regarding the total number of in-store players.</w:t>
      </w:r>
      <w:r>
        <w:rPr>
          <w:rFonts w:ascii="Arial" w:hAnsi="Arial" w:cs="Arial"/>
          <w:sz w:val="24"/>
          <w:szCs w:val="24"/>
        </w:rPr>
        <w:t xml:space="preserve"> As a result, this aspect of you request will not be res</w:t>
      </w:r>
      <w:r w:rsidR="00F40D78">
        <w:rPr>
          <w:rFonts w:ascii="Arial" w:hAnsi="Arial" w:cs="Arial"/>
          <w:sz w:val="24"/>
          <w:szCs w:val="24"/>
        </w:rPr>
        <w:t>ponded to under section 18(g)</w:t>
      </w:r>
      <w:r>
        <w:rPr>
          <w:rFonts w:ascii="Arial" w:hAnsi="Arial" w:cs="Arial"/>
          <w:sz w:val="24"/>
          <w:szCs w:val="24"/>
        </w:rPr>
        <w:t xml:space="preserve"> </w:t>
      </w:r>
      <w:r w:rsidRPr="00CA4031">
        <w:rPr>
          <w:rFonts w:ascii="Arial" w:hAnsi="Arial" w:cs="Arial"/>
          <w:sz w:val="24"/>
          <w:szCs w:val="24"/>
        </w:rPr>
        <w:t>of the Official Information Act 1982</w:t>
      </w:r>
      <w:r>
        <w:rPr>
          <w:rFonts w:ascii="Arial" w:hAnsi="Arial" w:cs="Arial"/>
          <w:sz w:val="24"/>
          <w:szCs w:val="24"/>
        </w:rPr>
        <w:t xml:space="preserve"> as the information is not held by Lotto New Zealand.</w:t>
      </w:r>
    </w:p>
    <w:p w:rsidR="00CF03A5" w:rsidRDefault="00CF03A5" w:rsidP="00CF03A5">
      <w:pPr>
        <w:jc w:val="both"/>
        <w:rPr>
          <w:rFonts w:ascii="Arial" w:hAnsi="Arial" w:cs="Arial"/>
          <w:sz w:val="24"/>
          <w:szCs w:val="24"/>
        </w:rPr>
      </w:pPr>
      <w:r w:rsidRPr="00CF03A5">
        <w:rPr>
          <w:rFonts w:ascii="Arial" w:hAnsi="Arial" w:cs="Arial"/>
          <w:sz w:val="24"/>
          <w:szCs w:val="24"/>
        </w:rPr>
        <w:t xml:space="preserve">Please contact me if you require any further clarification of this information on </w:t>
      </w:r>
      <w:r w:rsidR="00012A75">
        <w:rPr>
          <w:rFonts w:ascii="Arial" w:hAnsi="Arial" w:cs="Arial"/>
          <w:sz w:val="24"/>
          <w:szCs w:val="24"/>
        </w:rPr>
        <w:br/>
      </w:r>
      <w:r w:rsidRPr="00CF03A5">
        <w:rPr>
          <w:rFonts w:ascii="Arial" w:hAnsi="Arial" w:cs="Arial"/>
          <w:sz w:val="24"/>
          <w:szCs w:val="24"/>
        </w:rPr>
        <w:t>(09) 358 936</w:t>
      </w:r>
      <w:r w:rsidR="00012A75">
        <w:rPr>
          <w:rFonts w:ascii="Arial" w:hAnsi="Arial" w:cs="Arial"/>
          <w:sz w:val="24"/>
          <w:szCs w:val="24"/>
        </w:rPr>
        <w:t>6</w:t>
      </w:r>
      <w:r w:rsidRPr="00CF03A5">
        <w:rPr>
          <w:rFonts w:ascii="Arial" w:hAnsi="Arial" w:cs="Arial"/>
          <w:sz w:val="24"/>
          <w:szCs w:val="24"/>
        </w:rPr>
        <w:t>.</w:t>
      </w:r>
    </w:p>
    <w:p w:rsidR="005944E0" w:rsidRDefault="00D94467" w:rsidP="000312C2">
      <w:pPr>
        <w:rPr>
          <w:rFonts w:ascii="Arial" w:hAnsi="Arial" w:cs="Arial"/>
          <w:sz w:val="24"/>
          <w:szCs w:val="24"/>
        </w:rPr>
      </w:pPr>
      <w:r w:rsidRPr="00501F23">
        <w:rPr>
          <w:rFonts w:ascii="Arial" w:hAnsi="Arial" w:cs="Arial"/>
          <w:sz w:val="24"/>
          <w:szCs w:val="24"/>
        </w:rPr>
        <w:t>Kind r</w:t>
      </w:r>
      <w:r w:rsidR="000312C2" w:rsidRPr="00501F23">
        <w:rPr>
          <w:rFonts w:ascii="Arial" w:hAnsi="Arial" w:cs="Arial"/>
          <w:sz w:val="24"/>
          <w:szCs w:val="24"/>
        </w:rPr>
        <w:t>egards</w:t>
      </w:r>
    </w:p>
    <w:p w:rsidR="00FD0DF5" w:rsidRDefault="00FD0DF5" w:rsidP="000312C2">
      <w:pPr>
        <w:rPr>
          <w:rFonts w:ascii="Arial" w:hAnsi="Arial" w:cs="Arial"/>
          <w:sz w:val="24"/>
          <w:szCs w:val="24"/>
        </w:rPr>
      </w:pPr>
    </w:p>
    <w:p w:rsidR="00D206DC" w:rsidRPr="00501F23" w:rsidRDefault="00D206DC" w:rsidP="000312C2">
      <w:pPr>
        <w:rPr>
          <w:rFonts w:ascii="Arial" w:hAnsi="Arial" w:cs="Arial"/>
          <w:sz w:val="24"/>
          <w:szCs w:val="24"/>
        </w:rPr>
      </w:pPr>
    </w:p>
    <w:p w:rsidR="000312C2" w:rsidRPr="00501F23" w:rsidRDefault="00012A75" w:rsidP="00501F23">
      <w:pPr>
        <w:rPr>
          <w:rFonts w:ascii="Arial" w:hAnsi="Arial" w:cs="Arial"/>
          <w:b/>
          <w:sz w:val="24"/>
          <w:szCs w:val="24"/>
        </w:rPr>
      </w:pPr>
      <w:r>
        <w:rPr>
          <w:rFonts w:ascii="Arial" w:hAnsi="Arial" w:cs="Arial"/>
          <w:sz w:val="24"/>
          <w:szCs w:val="24"/>
        </w:rPr>
        <w:t>Kirsten Robinson</w:t>
      </w:r>
      <w:r w:rsidR="000312C2" w:rsidRPr="00501F23">
        <w:rPr>
          <w:rFonts w:ascii="Arial" w:hAnsi="Arial" w:cs="Arial"/>
          <w:sz w:val="24"/>
          <w:szCs w:val="24"/>
        </w:rPr>
        <w:br/>
      </w:r>
      <w:r>
        <w:rPr>
          <w:rFonts w:ascii="Arial" w:hAnsi="Arial" w:cs="Arial"/>
          <w:b/>
          <w:sz w:val="24"/>
          <w:szCs w:val="24"/>
        </w:rPr>
        <w:t>Head of</w:t>
      </w:r>
      <w:r w:rsidR="00C01E27" w:rsidRPr="00501F23">
        <w:rPr>
          <w:rFonts w:ascii="Arial" w:hAnsi="Arial" w:cs="Arial"/>
          <w:b/>
          <w:sz w:val="24"/>
          <w:szCs w:val="24"/>
        </w:rPr>
        <w:t xml:space="preserve"> </w:t>
      </w:r>
      <w:r w:rsidR="00D00962" w:rsidRPr="00501F23">
        <w:rPr>
          <w:rFonts w:ascii="Arial" w:hAnsi="Arial" w:cs="Arial"/>
          <w:b/>
          <w:sz w:val="24"/>
          <w:szCs w:val="24"/>
        </w:rPr>
        <w:t>Corporate Communications</w:t>
      </w:r>
    </w:p>
    <w:sectPr w:rsidR="000312C2" w:rsidRPr="00501F23" w:rsidSect="006A7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26" w:rsidRDefault="00982E26" w:rsidP="0031610A">
      <w:pPr>
        <w:spacing w:after="0" w:line="240" w:lineRule="auto"/>
      </w:pPr>
      <w:r>
        <w:separator/>
      </w:r>
    </w:p>
  </w:endnote>
  <w:endnote w:type="continuationSeparator" w:id="0">
    <w:p w:rsidR="00982E26" w:rsidRDefault="00982E26" w:rsidP="003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26" w:rsidRDefault="00982E26" w:rsidP="0031610A">
      <w:pPr>
        <w:spacing w:after="0" w:line="240" w:lineRule="auto"/>
      </w:pPr>
      <w:r>
        <w:separator/>
      </w:r>
    </w:p>
  </w:footnote>
  <w:footnote w:type="continuationSeparator" w:id="0">
    <w:p w:rsidR="00982E26" w:rsidRDefault="00982E26" w:rsidP="003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BF"/>
    <w:multiLevelType w:val="hybridMultilevel"/>
    <w:tmpl w:val="EF50661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272D4C"/>
    <w:multiLevelType w:val="hybridMultilevel"/>
    <w:tmpl w:val="134E0ADC"/>
    <w:lvl w:ilvl="0" w:tplc="11C28314">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02688F"/>
    <w:multiLevelType w:val="hybridMultilevel"/>
    <w:tmpl w:val="14E4E3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223614"/>
    <w:multiLevelType w:val="hybridMultilevel"/>
    <w:tmpl w:val="CA7EE4D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AA33D11"/>
    <w:multiLevelType w:val="hybridMultilevel"/>
    <w:tmpl w:val="E922750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B5610F6"/>
    <w:multiLevelType w:val="hybridMultilevel"/>
    <w:tmpl w:val="4150F788"/>
    <w:lvl w:ilvl="0" w:tplc="96E0B312">
      <w:numFmt w:val="decimal"/>
      <w:lvlText w:val="%1."/>
      <w:lvlJc w:val="left"/>
      <w:pPr>
        <w:ind w:left="900" w:hanging="54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074DED"/>
    <w:multiLevelType w:val="hybridMultilevel"/>
    <w:tmpl w:val="5B44B4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9963E6"/>
    <w:multiLevelType w:val="hybridMultilevel"/>
    <w:tmpl w:val="5C243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EF1E8A"/>
    <w:multiLevelType w:val="hybridMultilevel"/>
    <w:tmpl w:val="B61A96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3BF1C60"/>
    <w:multiLevelType w:val="hybridMultilevel"/>
    <w:tmpl w:val="9596442C"/>
    <w:lvl w:ilvl="0" w:tplc="97DA087E">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40290D"/>
    <w:multiLevelType w:val="hybridMultilevel"/>
    <w:tmpl w:val="20CECD9C"/>
    <w:lvl w:ilvl="0" w:tplc="F24E602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DC3345"/>
    <w:multiLevelType w:val="hybridMultilevel"/>
    <w:tmpl w:val="D88C1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C2172D"/>
    <w:multiLevelType w:val="hybridMultilevel"/>
    <w:tmpl w:val="AD66A2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EEA162A"/>
    <w:multiLevelType w:val="hybridMultilevel"/>
    <w:tmpl w:val="159687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FDD6349"/>
    <w:multiLevelType w:val="multilevel"/>
    <w:tmpl w:val="54829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2F13AD"/>
    <w:multiLevelType w:val="hybridMultilevel"/>
    <w:tmpl w:val="F05A49E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893A95"/>
    <w:multiLevelType w:val="hybridMultilevel"/>
    <w:tmpl w:val="52C6DF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E1F7DEE"/>
    <w:multiLevelType w:val="hybridMultilevel"/>
    <w:tmpl w:val="C0A28BA4"/>
    <w:lvl w:ilvl="0" w:tplc="BB5644E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E4929FB"/>
    <w:multiLevelType w:val="hybridMultilevel"/>
    <w:tmpl w:val="27DC8EA4"/>
    <w:lvl w:ilvl="0" w:tplc="3DBCA11C">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9352D3"/>
    <w:multiLevelType w:val="hybridMultilevel"/>
    <w:tmpl w:val="D88C1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2F5803"/>
    <w:multiLevelType w:val="hybridMultilevel"/>
    <w:tmpl w:val="D88C1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9B317DD"/>
    <w:multiLevelType w:val="hybridMultilevel"/>
    <w:tmpl w:val="D4AED8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B9D0888"/>
    <w:multiLevelType w:val="hybridMultilevel"/>
    <w:tmpl w:val="F2DC9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34300D"/>
    <w:multiLevelType w:val="hybridMultilevel"/>
    <w:tmpl w:val="D88C1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C09094B"/>
    <w:multiLevelType w:val="hybridMultilevel"/>
    <w:tmpl w:val="74F2D4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0F5DC7"/>
    <w:multiLevelType w:val="hybridMultilevel"/>
    <w:tmpl w:val="E922750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EFB0637"/>
    <w:multiLevelType w:val="hybridMultilevel"/>
    <w:tmpl w:val="C0587F38"/>
    <w:lvl w:ilvl="0" w:tplc="4A26ECF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CC70E6"/>
    <w:multiLevelType w:val="hybridMultilevel"/>
    <w:tmpl w:val="D88C1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A3A42D6"/>
    <w:multiLevelType w:val="hybridMultilevel"/>
    <w:tmpl w:val="A0A09298"/>
    <w:lvl w:ilvl="0" w:tplc="7FA6A4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074EDC"/>
    <w:multiLevelType w:val="hybridMultilevel"/>
    <w:tmpl w:val="2EB65CDC"/>
    <w:lvl w:ilvl="0" w:tplc="C414A774">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EEB40A1"/>
    <w:multiLevelType w:val="hybridMultilevel"/>
    <w:tmpl w:val="2D3474E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F192E6D"/>
    <w:multiLevelType w:val="multilevel"/>
    <w:tmpl w:val="A5A2B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3"/>
  </w:num>
  <w:num w:numId="3">
    <w:abstractNumId w:val="13"/>
  </w:num>
  <w:num w:numId="4">
    <w:abstractNumId w:val="17"/>
  </w:num>
  <w:num w:numId="5">
    <w:abstractNumId w:val="20"/>
  </w:num>
  <w:num w:numId="6">
    <w:abstractNumId w:val="27"/>
  </w:num>
  <w:num w:numId="7">
    <w:abstractNumId w:val="19"/>
  </w:num>
  <w:num w:numId="8">
    <w:abstractNumId w:val="1"/>
  </w:num>
  <w:num w:numId="9">
    <w:abstractNumId w:val="11"/>
  </w:num>
  <w:num w:numId="10">
    <w:abstractNumId w:val="12"/>
  </w:num>
  <w:num w:numId="11">
    <w:abstractNumId w:val="10"/>
  </w:num>
  <w:num w:numId="12">
    <w:abstractNumId w:val="9"/>
  </w:num>
  <w:num w:numId="13">
    <w:abstractNumId w:val="26"/>
  </w:num>
  <w:num w:numId="14">
    <w:abstractNumId w:val="29"/>
  </w:num>
  <w:num w:numId="15">
    <w:abstractNumId w:val="7"/>
  </w:num>
  <w:num w:numId="16">
    <w:abstractNumId w:val="22"/>
  </w:num>
  <w:num w:numId="17">
    <w:abstractNumId w:val="24"/>
  </w:num>
  <w:num w:numId="18">
    <w:abstractNumId w:val="15"/>
  </w:num>
  <w:num w:numId="19">
    <w:abstractNumId w:val="0"/>
  </w:num>
  <w:num w:numId="20">
    <w:abstractNumId w:val="28"/>
  </w:num>
  <w:num w:numId="21">
    <w:abstractNumId w:val="3"/>
  </w:num>
  <w:num w:numId="22">
    <w:abstractNumId w:val="3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16"/>
  </w:num>
  <w:num w:numId="28">
    <w:abstractNumId w:val="2"/>
  </w:num>
  <w:num w:numId="29">
    <w:abstractNumId w:val="21"/>
  </w:num>
  <w:num w:numId="30">
    <w:abstractNumId w:val="18"/>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3"/>
    <w:rsid w:val="000023F5"/>
    <w:rsid w:val="00005986"/>
    <w:rsid w:val="00012A75"/>
    <w:rsid w:val="000312C2"/>
    <w:rsid w:val="00034F42"/>
    <w:rsid w:val="000A3050"/>
    <w:rsid w:val="000C194A"/>
    <w:rsid w:val="000C549E"/>
    <w:rsid w:val="000C6C46"/>
    <w:rsid w:val="000E256B"/>
    <w:rsid w:val="000F6106"/>
    <w:rsid w:val="0010277D"/>
    <w:rsid w:val="00104AAE"/>
    <w:rsid w:val="00114A7C"/>
    <w:rsid w:val="00150752"/>
    <w:rsid w:val="00156F58"/>
    <w:rsid w:val="0017049C"/>
    <w:rsid w:val="0017548A"/>
    <w:rsid w:val="001A740D"/>
    <w:rsid w:val="001A77ED"/>
    <w:rsid w:val="001B57E5"/>
    <w:rsid w:val="001C57C0"/>
    <w:rsid w:val="001D56DD"/>
    <w:rsid w:val="001E60CD"/>
    <w:rsid w:val="001F7FD1"/>
    <w:rsid w:val="00210F26"/>
    <w:rsid w:val="0022122D"/>
    <w:rsid w:val="00237D59"/>
    <w:rsid w:val="00270EBD"/>
    <w:rsid w:val="0027728F"/>
    <w:rsid w:val="00287B49"/>
    <w:rsid w:val="002F1D3C"/>
    <w:rsid w:val="002F3C37"/>
    <w:rsid w:val="00300C34"/>
    <w:rsid w:val="00304A39"/>
    <w:rsid w:val="0031610A"/>
    <w:rsid w:val="003350E7"/>
    <w:rsid w:val="003577A5"/>
    <w:rsid w:val="003834F3"/>
    <w:rsid w:val="003B2A04"/>
    <w:rsid w:val="003B2CCA"/>
    <w:rsid w:val="00404E5C"/>
    <w:rsid w:val="00415F04"/>
    <w:rsid w:val="004163A0"/>
    <w:rsid w:val="00422795"/>
    <w:rsid w:val="00424A36"/>
    <w:rsid w:val="00425F3E"/>
    <w:rsid w:val="004315B4"/>
    <w:rsid w:val="00445D14"/>
    <w:rsid w:val="00450E24"/>
    <w:rsid w:val="00456BDB"/>
    <w:rsid w:val="004758AD"/>
    <w:rsid w:val="004968DE"/>
    <w:rsid w:val="004A11F8"/>
    <w:rsid w:val="004D3A58"/>
    <w:rsid w:val="004D6B11"/>
    <w:rsid w:val="004E20EC"/>
    <w:rsid w:val="004F1779"/>
    <w:rsid w:val="004F2399"/>
    <w:rsid w:val="004F3F90"/>
    <w:rsid w:val="00501F23"/>
    <w:rsid w:val="005022DF"/>
    <w:rsid w:val="005037D3"/>
    <w:rsid w:val="00507152"/>
    <w:rsid w:val="00530140"/>
    <w:rsid w:val="005516D3"/>
    <w:rsid w:val="00573211"/>
    <w:rsid w:val="00584647"/>
    <w:rsid w:val="00587A4F"/>
    <w:rsid w:val="005944E0"/>
    <w:rsid w:val="00595134"/>
    <w:rsid w:val="00596F01"/>
    <w:rsid w:val="005A001E"/>
    <w:rsid w:val="005B7B24"/>
    <w:rsid w:val="005E0D95"/>
    <w:rsid w:val="005F010E"/>
    <w:rsid w:val="00645D81"/>
    <w:rsid w:val="006573BF"/>
    <w:rsid w:val="006719F9"/>
    <w:rsid w:val="00694561"/>
    <w:rsid w:val="006A7432"/>
    <w:rsid w:val="006B1FC1"/>
    <w:rsid w:val="006C0EFF"/>
    <w:rsid w:val="006D582D"/>
    <w:rsid w:val="006F1059"/>
    <w:rsid w:val="007007A9"/>
    <w:rsid w:val="00711391"/>
    <w:rsid w:val="00723283"/>
    <w:rsid w:val="007321A6"/>
    <w:rsid w:val="0073348C"/>
    <w:rsid w:val="00755375"/>
    <w:rsid w:val="007645A9"/>
    <w:rsid w:val="00776C4B"/>
    <w:rsid w:val="007934B7"/>
    <w:rsid w:val="007A2416"/>
    <w:rsid w:val="007B6170"/>
    <w:rsid w:val="007C2A06"/>
    <w:rsid w:val="007C55A0"/>
    <w:rsid w:val="007D29AE"/>
    <w:rsid w:val="007D4495"/>
    <w:rsid w:val="0080095A"/>
    <w:rsid w:val="008067C0"/>
    <w:rsid w:val="00813084"/>
    <w:rsid w:val="00823F03"/>
    <w:rsid w:val="008329A2"/>
    <w:rsid w:val="00834344"/>
    <w:rsid w:val="00834AD2"/>
    <w:rsid w:val="00835569"/>
    <w:rsid w:val="008539A3"/>
    <w:rsid w:val="008A368B"/>
    <w:rsid w:val="008B4963"/>
    <w:rsid w:val="008C7D60"/>
    <w:rsid w:val="008D7524"/>
    <w:rsid w:val="008F20C1"/>
    <w:rsid w:val="008F45C8"/>
    <w:rsid w:val="008F62CF"/>
    <w:rsid w:val="009069E7"/>
    <w:rsid w:val="00933A8F"/>
    <w:rsid w:val="0093502A"/>
    <w:rsid w:val="00946E9C"/>
    <w:rsid w:val="00982E26"/>
    <w:rsid w:val="00987037"/>
    <w:rsid w:val="009978C8"/>
    <w:rsid w:val="009B0C31"/>
    <w:rsid w:val="009B37CB"/>
    <w:rsid w:val="009B56ED"/>
    <w:rsid w:val="009D01ED"/>
    <w:rsid w:val="009E7668"/>
    <w:rsid w:val="009F08BA"/>
    <w:rsid w:val="00A32045"/>
    <w:rsid w:val="00A451E9"/>
    <w:rsid w:val="00A45F33"/>
    <w:rsid w:val="00A62DDE"/>
    <w:rsid w:val="00A65AF8"/>
    <w:rsid w:val="00A6629A"/>
    <w:rsid w:val="00A9583A"/>
    <w:rsid w:val="00AA39D6"/>
    <w:rsid w:val="00AB32D2"/>
    <w:rsid w:val="00AD0E68"/>
    <w:rsid w:val="00AE3871"/>
    <w:rsid w:val="00AF7149"/>
    <w:rsid w:val="00B01B6D"/>
    <w:rsid w:val="00B10639"/>
    <w:rsid w:val="00B1300E"/>
    <w:rsid w:val="00B224CE"/>
    <w:rsid w:val="00B3101D"/>
    <w:rsid w:val="00B40CCB"/>
    <w:rsid w:val="00B4734C"/>
    <w:rsid w:val="00B82E9A"/>
    <w:rsid w:val="00B860AE"/>
    <w:rsid w:val="00BD35CD"/>
    <w:rsid w:val="00BE1C9E"/>
    <w:rsid w:val="00BE69CA"/>
    <w:rsid w:val="00C01E27"/>
    <w:rsid w:val="00C13EBF"/>
    <w:rsid w:val="00C14DD4"/>
    <w:rsid w:val="00C2320C"/>
    <w:rsid w:val="00C405E8"/>
    <w:rsid w:val="00C47B3F"/>
    <w:rsid w:val="00C56045"/>
    <w:rsid w:val="00C63FEC"/>
    <w:rsid w:val="00C748D8"/>
    <w:rsid w:val="00C973AE"/>
    <w:rsid w:val="00CA4031"/>
    <w:rsid w:val="00CA64FB"/>
    <w:rsid w:val="00CF03A5"/>
    <w:rsid w:val="00D00962"/>
    <w:rsid w:val="00D206DC"/>
    <w:rsid w:val="00D30A2E"/>
    <w:rsid w:val="00D314BE"/>
    <w:rsid w:val="00D3193F"/>
    <w:rsid w:val="00D44A29"/>
    <w:rsid w:val="00D75F98"/>
    <w:rsid w:val="00D874BD"/>
    <w:rsid w:val="00D910F8"/>
    <w:rsid w:val="00D94467"/>
    <w:rsid w:val="00D97B82"/>
    <w:rsid w:val="00DA0C64"/>
    <w:rsid w:val="00DC53B7"/>
    <w:rsid w:val="00DC5DDE"/>
    <w:rsid w:val="00DC66DE"/>
    <w:rsid w:val="00DC6D32"/>
    <w:rsid w:val="00E03C14"/>
    <w:rsid w:val="00E1518D"/>
    <w:rsid w:val="00E41051"/>
    <w:rsid w:val="00E473D4"/>
    <w:rsid w:val="00E47721"/>
    <w:rsid w:val="00E95A6B"/>
    <w:rsid w:val="00E97211"/>
    <w:rsid w:val="00EA1858"/>
    <w:rsid w:val="00EA771B"/>
    <w:rsid w:val="00EB10CF"/>
    <w:rsid w:val="00ED3658"/>
    <w:rsid w:val="00ED618F"/>
    <w:rsid w:val="00F2089B"/>
    <w:rsid w:val="00F4035C"/>
    <w:rsid w:val="00F40D78"/>
    <w:rsid w:val="00F704FF"/>
    <w:rsid w:val="00F75727"/>
    <w:rsid w:val="00F930B2"/>
    <w:rsid w:val="00FC07A0"/>
    <w:rsid w:val="00FD0DF5"/>
    <w:rsid w:val="00FD3176"/>
    <w:rsid w:val="00FE16B3"/>
    <w:rsid w:val="00FF77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1F8B"/>
  <w15:docId w15:val="{97F9199C-F798-4222-9CFC-2929E64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99"/>
    <w:rPr>
      <w:color w:val="0000FF"/>
      <w:u w:val="single"/>
    </w:rPr>
  </w:style>
  <w:style w:type="paragraph" w:styleId="ListParagraph">
    <w:name w:val="List Paragraph"/>
    <w:basedOn w:val="Normal"/>
    <w:uiPriority w:val="34"/>
    <w:qFormat/>
    <w:rsid w:val="004F2399"/>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C973AE"/>
    <w:rPr>
      <w:color w:val="800080" w:themeColor="followedHyperlink"/>
      <w:u w:val="single"/>
    </w:rPr>
  </w:style>
  <w:style w:type="paragraph" w:styleId="PlainText">
    <w:name w:val="Plain Text"/>
    <w:basedOn w:val="Normal"/>
    <w:link w:val="PlainTextChar"/>
    <w:uiPriority w:val="99"/>
    <w:semiHidden/>
    <w:unhideWhenUsed/>
    <w:rsid w:val="00E477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7721"/>
    <w:rPr>
      <w:rFonts w:ascii="Calibri" w:hAnsi="Calibri"/>
      <w:szCs w:val="21"/>
    </w:rPr>
  </w:style>
  <w:style w:type="character" w:styleId="CommentReference">
    <w:name w:val="annotation reference"/>
    <w:basedOn w:val="DefaultParagraphFont"/>
    <w:uiPriority w:val="99"/>
    <w:semiHidden/>
    <w:unhideWhenUsed/>
    <w:rsid w:val="00104AAE"/>
    <w:rPr>
      <w:sz w:val="16"/>
      <w:szCs w:val="16"/>
    </w:rPr>
  </w:style>
  <w:style w:type="paragraph" w:styleId="CommentText">
    <w:name w:val="annotation text"/>
    <w:basedOn w:val="Normal"/>
    <w:link w:val="CommentTextChar"/>
    <w:uiPriority w:val="99"/>
    <w:semiHidden/>
    <w:unhideWhenUsed/>
    <w:rsid w:val="00104AAE"/>
    <w:pPr>
      <w:spacing w:line="240" w:lineRule="auto"/>
    </w:pPr>
    <w:rPr>
      <w:sz w:val="20"/>
      <w:szCs w:val="20"/>
    </w:rPr>
  </w:style>
  <w:style w:type="character" w:customStyle="1" w:styleId="CommentTextChar">
    <w:name w:val="Comment Text Char"/>
    <w:basedOn w:val="DefaultParagraphFont"/>
    <w:link w:val="CommentText"/>
    <w:uiPriority w:val="99"/>
    <w:semiHidden/>
    <w:rsid w:val="00104AAE"/>
    <w:rPr>
      <w:sz w:val="20"/>
      <w:szCs w:val="20"/>
    </w:rPr>
  </w:style>
  <w:style w:type="paragraph" w:styleId="CommentSubject">
    <w:name w:val="annotation subject"/>
    <w:basedOn w:val="CommentText"/>
    <w:next w:val="CommentText"/>
    <w:link w:val="CommentSubjectChar"/>
    <w:uiPriority w:val="99"/>
    <w:semiHidden/>
    <w:unhideWhenUsed/>
    <w:rsid w:val="00104AAE"/>
    <w:rPr>
      <w:b/>
      <w:bCs/>
    </w:rPr>
  </w:style>
  <w:style w:type="character" w:customStyle="1" w:styleId="CommentSubjectChar">
    <w:name w:val="Comment Subject Char"/>
    <w:basedOn w:val="CommentTextChar"/>
    <w:link w:val="CommentSubject"/>
    <w:uiPriority w:val="99"/>
    <w:semiHidden/>
    <w:rsid w:val="00104AAE"/>
    <w:rPr>
      <w:b/>
      <w:bCs/>
      <w:sz w:val="20"/>
      <w:szCs w:val="20"/>
    </w:rPr>
  </w:style>
  <w:style w:type="paragraph" w:styleId="BalloonText">
    <w:name w:val="Balloon Text"/>
    <w:basedOn w:val="Normal"/>
    <w:link w:val="BalloonTextChar"/>
    <w:uiPriority w:val="99"/>
    <w:semiHidden/>
    <w:unhideWhenUsed/>
    <w:rsid w:val="0010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AE"/>
    <w:rPr>
      <w:rFonts w:ascii="Tahoma" w:hAnsi="Tahoma" w:cs="Tahoma"/>
      <w:sz w:val="16"/>
      <w:szCs w:val="16"/>
    </w:rPr>
  </w:style>
  <w:style w:type="paragraph" w:styleId="FootnoteText">
    <w:name w:val="footnote text"/>
    <w:basedOn w:val="Normal"/>
    <w:link w:val="FootnoteTextChar"/>
    <w:uiPriority w:val="99"/>
    <w:semiHidden/>
    <w:unhideWhenUsed/>
    <w:rsid w:val="00316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10A"/>
    <w:rPr>
      <w:sz w:val="20"/>
      <w:szCs w:val="20"/>
    </w:rPr>
  </w:style>
  <w:style w:type="character" w:styleId="FootnoteReference">
    <w:name w:val="footnote reference"/>
    <w:basedOn w:val="DefaultParagraphFont"/>
    <w:uiPriority w:val="99"/>
    <w:semiHidden/>
    <w:unhideWhenUsed/>
    <w:rsid w:val="00316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8581">
      <w:bodyDiv w:val="1"/>
      <w:marLeft w:val="0"/>
      <w:marRight w:val="0"/>
      <w:marTop w:val="0"/>
      <w:marBottom w:val="0"/>
      <w:divBdr>
        <w:top w:val="none" w:sz="0" w:space="0" w:color="auto"/>
        <w:left w:val="none" w:sz="0" w:space="0" w:color="auto"/>
        <w:bottom w:val="none" w:sz="0" w:space="0" w:color="auto"/>
        <w:right w:val="none" w:sz="0" w:space="0" w:color="auto"/>
      </w:divBdr>
    </w:div>
    <w:div w:id="44913407">
      <w:bodyDiv w:val="1"/>
      <w:marLeft w:val="0"/>
      <w:marRight w:val="0"/>
      <w:marTop w:val="0"/>
      <w:marBottom w:val="0"/>
      <w:divBdr>
        <w:top w:val="none" w:sz="0" w:space="0" w:color="auto"/>
        <w:left w:val="none" w:sz="0" w:space="0" w:color="auto"/>
        <w:bottom w:val="none" w:sz="0" w:space="0" w:color="auto"/>
        <w:right w:val="none" w:sz="0" w:space="0" w:color="auto"/>
      </w:divBdr>
    </w:div>
    <w:div w:id="259223327">
      <w:bodyDiv w:val="1"/>
      <w:marLeft w:val="0"/>
      <w:marRight w:val="0"/>
      <w:marTop w:val="0"/>
      <w:marBottom w:val="0"/>
      <w:divBdr>
        <w:top w:val="none" w:sz="0" w:space="0" w:color="auto"/>
        <w:left w:val="none" w:sz="0" w:space="0" w:color="auto"/>
        <w:bottom w:val="none" w:sz="0" w:space="0" w:color="auto"/>
        <w:right w:val="none" w:sz="0" w:space="0" w:color="auto"/>
      </w:divBdr>
    </w:div>
    <w:div w:id="407583550">
      <w:bodyDiv w:val="1"/>
      <w:marLeft w:val="0"/>
      <w:marRight w:val="0"/>
      <w:marTop w:val="0"/>
      <w:marBottom w:val="0"/>
      <w:divBdr>
        <w:top w:val="none" w:sz="0" w:space="0" w:color="auto"/>
        <w:left w:val="none" w:sz="0" w:space="0" w:color="auto"/>
        <w:bottom w:val="none" w:sz="0" w:space="0" w:color="auto"/>
        <w:right w:val="none" w:sz="0" w:space="0" w:color="auto"/>
      </w:divBdr>
    </w:div>
    <w:div w:id="472452126">
      <w:bodyDiv w:val="1"/>
      <w:marLeft w:val="0"/>
      <w:marRight w:val="0"/>
      <w:marTop w:val="0"/>
      <w:marBottom w:val="0"/>
      <w:divBdr>
        <w:top w:val="none" w:sz="0" w:space="0" w:color="auto"/>
        <w:left w:val="none" w:sz="0" w:space="0" w:color="auto"/>
        <w:bottom w:val="none" w:sz="0" w:space="0" w:color="auto"/>
        <w:right w:val="none" w:sz="0" w:space="0" w:color="auto"/>
      </w:divBdr>
    </w:div>
    <w:div w:id="497042349">
      <w:bodyDiv w:val="1"/>
      <w:marLeft w:val="0"/>
      <w:marRight w:val="0"/>
      <w:marTop w:val="0"/>
      <w:marBottom w:val="0"/>
      <w:divBdr>
        <w:top w:val="none" w:sz="0" w:space="0" w:color="auto"/>
        <w:left w:val="none" w:sz="0" w:space="0" w:color="auto"/>
        <w:bottom w:val="none" w:sz="0" w:space="0" w:color="auto"/>
        <w:right w:val="none" w:sz="0" w:space="0" w:color="auto"/>
      </w:divBdr>
    </w:div>
    <w:div w:id="606498568">
      <w:bodyDiv w:val="1"/>
      <w:marLeft w:val="0"/>
      <w:marRight w:val="0"/>
      <w:marTop w:val="0"/>
      <w:marBottom w:val="0"/>
      <w:divBdr>
        <w:top w:val="none" w:sz="0" w:space="0" w:color="auto"/>
        <w:left w:val="none" w:sz="0" w:space="0" w:color="auto"/>
        <w:bottom w:val="none" w:sz="0" w:space="0" w:color="auto"/>
        <w:right w:val="none" w:sz="0" w:space="0" w:color="auto"/>
      </w:divBdr>
    </w:div>
    <w:div w:id="638342049">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670792339">
      <w:bodyDiv w:val="1"/>
      <w:marLeft w:val="0"/>
      <w:marRight w:val="0"/>
      <w:marTop w:val="0"/>
      <w:marBottom w:val="0"/>
      <w:divBdr>
        <w:top w:val="none" w:sz="0" w:space="0" w:color="auto"/>
        <w:left w:val="none" w:sz="0" w:space="0" w:color="auto"/>
        <w:bottom w:val="none" w:sz="0" w:space="0" w:color="auto"/>
        <w:right w:val="none" w:sz="0" w:space="0" w:color="auto"/>
      </w:divBdr>
    </w:div>
    <w:div w:id="724723974">
      <w:bodyDiv w:val="1"/>
      <w:marLeft w:val="0"/>
      <w:marRight w:val="0"/>
      <w:marTop w:val="0"/>
      <w:marBottom w:val="0"/>
      <w:divBdr>
        <w:top w:val="none" w:sz="0" w:space="0" w:color="auto"/>
        <w:left w:val="none" w:sz="0" w:space="0" w:color="auto"/>
        <w:bottom w:val="none" w:sz="0" w:space="0" w:color="auto"/>
        <w:right w:val="none" w:sz="0" w:space="0" w:color="auto"/>
      </w:divBdr>
    </w:div>
    <w:div w:id="840311345">
      <w:bodyDiv w:val="1"/>
      <w:marLeft w:val="0"/>
      <w:marRight w:val="0"/>
      <w:marTop w:val="0"/>
      <w:marBottom w:val="0"/>
      <w:divBdr>
        <w:top w:val="none" w:sz="0" w:space="0" w:color="auto"/>
        <w:left w:val="none" w:sz="0" w:space="0" w:color="auto"/>
        <w:bottom w:val="none" w:sz="0" w:space="0" w:color="auto"/>
        <w:right w:val="none" w:sz="0" w:space="0" w:color="auto"/>
      </w:divBdr>
    </w:div>
    <w:div w:id="878317939">
      <w:bodyDiv w:val="1"/>
      <w:marLeft w:val="0"/>
      <w:marRight w:val="0"/>
      <w:marTop w:val="0"/>
      <w:marBottom w:val="0"/>
      <w:divBdr>
        <w:top w:val="none" w:sz="0" w:space="0" w:color="auto"/>
        <w:left w:val="none" w:sz="0" w:space="0" w:color="auto"/>
        <w:bottom w:val="none" w:sz="0" w:space="0" w:color="auto"/>
        <w:right w:val="none" w:sz="0" w:space="0" w:color="auto"/>
      </w:divBdr>
    </w:div>
    <w:div w:id="892034957">
      <w:bodyDiv w:val="1"/>
      <w:marLeft w:val="0"/>
      <w:marRight w:val="0"/>
      <w:marTop w:val="0"/>
      <w:marBottom w:val="0"/>
      <w:divBdr>
        <w:top w:val="none" w:sz="0" w:space="0" w:color="auto"/>
        <w:left w:val="none" w:sz="0" w:space="0" w:color="auto"/>
        <w:bottom w:val="none" w:sz="0" w:space="0" w:color="auto"/>
        <w:right w:val="none" w:sz="0" w:space="0" w:color="auto"/>
      </w:divBdr>
    </w:div>
    <w:div w:id="915674322">
      <w:bodyDiv w:val="1"/>
      <w:marLeft w:val="0"/>
      <w:marRight w:val="0"/>
      <w:marTop w:val="0"/>
      <w:marBottom w:val="0"/>
      <w:divBdr>
        <w:top w:val="none" w:sz="0" w:space="0" w:color="auto"/>
        <w:left w:val="none" w:sz="0" w:space="0" w:color="auto"/>
        <w:bottom w:val="none" w:sz="0" w:space="0" w:color="auto"/>
        <w:right w:val="none" w:sz="0" w:space="0" w:color="auto"/>
      </w:divBdr>
    </w:div>
    <w:div w:id="932281122">
      <w:bodyDiv w:val="1"/>
      <w:marLeft w:val="0"/>
      <w:marRight w:val="0"/>
      <w:marTop w:val="0"/>
      <w:marBottom w:val="0"/>
      <w:divBdr>
        <w:top w:val="none" w:sz="0" w:space="0" w:color="auto"/>
        <w:left w:val="none" w:sz="0" w:space="0" w:color="auto"/>
        <w:bottom w:val="none" w:sz="0" w:space="0" w:color="auto"/>
        <w:right w:val="none" w:sz="0" w:space="0" w:color="auto"/>
      </w:divBdr>
    </w:div>
    <w:div w:id="942032380">
      <w:bodyDiv w:val="1"/>
      <w:marLeft w:val="0"/>
      <w:marRight w:val="0"/>
      <w:marTop w:val="0"/>
      <w:marBottom w:val="0"/>
      <w:divBdr>
        <w:top w:val="none" w:sz="0" w:space="0" w:color="auto"/>
        <w:left w:val="none" w:sz="0" w:space="0" w:color="auto"/>
        <w:bottom w:val="none" w:sz="0" w:space="0" w:color="auto"/>
        <w:right w:val="none" w:sz="0" w:space="0" w:color="auto"/>
      </w:divBdr>
    </w:div>
    <w:div w:id="1001158574">
      <w:bodyDiv w:val="1"/>
      <w:marLeft w:val="0"/>
      <w:marRight w:val="0"/>
      <w:marTop w:val="0"/>
      <w:marBottom w:val="0"/>
      <w:divBdr>
        <w:top w:val="none" w:sz="0" w:space="0" w:color="auto"/>
        <w:left w:val="none" w:sz="0" w:space="0" w:color="auto"/>
        <w:bottom w:val="none" w:sz="0" w:space="0" w:color="auto"/>
        <w:right w:val="none" w:sz="0" w:space="0" w:color="auto"/>
      </w:divBdr>
    </w:div>
    <w:div w:id="1006522991">
      <w:bodyDiv w:val="1"/>
      <w:marLeft w:val="0"/>
      <w:marRight w:val="0"/>
      <w:marTop w:val="0"/>
      <w:marBottom w:val="0"/>
      <w:divBdr>
        <w:top w:val="none" w:sz="0" w:space="0" w:color="auto"/>
        <w:left w:val="none" w:sz="0" w:space="0" w:color="auto"/>
        <w:bottom w:val="none" w:sz="0" w:space="0" w:color="auto"/>
        <w:right w:val="none" w:sz="0" w:space="0" w:color="auto"/>
      </w:divBdr>
    </w:div>
    <w:div w:id="1008752810">
      <w:bodyDiv w:val="1"/>
      <w:marLeft w:val="0"/>
      <w:marRight w:val="0"/>
      <w:marTop w:val="0"/>
      <w:marBottom w:val="0"/>
      <w:divBdr>
        <w:top w:val="none" w:sz="0" w:space="0" w:color="auto"/>
        <w:left w:val="none" w:sz="0" w:space="0" w:color="auto"/>
        <w:bottom w:val="none" w:sz="0" w:space="0" w:color="auto"/>
        <w:right w:val="none" w:sz="0" w:space="0" w:color="auto"/>
      </w:divBdr>
    </w:div>
    <w:div w:id="1009334466">
      <w:bodyDiv w:val="1"/>
      <w:marLeft w:val="0"/>
      <w:marRight w:val="0"/>
      <w:marTop w:val="0"/>
      <w:marBottom w:val="0"/>
      <w:divBdr>
        <w:top w:val="none" w:sz="0" w:space="0" w:color="auto"/>
        <w:left w:val="none" w:sz="0" w:space="0" w:color="auto"/>
        <w:bottom w:val="none" w:sz="0" w:space="0" w:color="auto"/>
        <w:right w:val="none" w:sz="0" w:space="0" w:color="auto"/>
      </w:divBdr>
    </w:div>
    <w:div w:id="1062287057">
      <w:bodyDiv w:val="1"/>
      <w:marLeft w:val="0"/>
      <w:marRight w:val="0"/>
      <w:marTop w:val="0"/>
      <w:marBottom w:val="0"/>
      <w:divBdr>
        <w:top w:val="none" w:sz="0" w:space="0" w:color="auto"/>
        <w:left w:val="none" w:sz="0" w:space="0" w:color="auto"/>
        <w:bottom w:val="none" w:sz="0" w:space="0" w:color="auto"/>
        <w:right w:val="none" w:sz="0" w:space="0" w:color="auto"/>
      </w:divBdr>
    </w:div>
    <w:div w:id="1094935964">
      <w:bodyDiv w:val="1"/>
      <w:marLeft w:val="0"/>
      <w:marRight w:val="0"/>
      <w:marTop w:val="0"/>
      <w:marBottom w:val="0"/>
      <w:divBdr>
        <w:top w:val="none" w:sz="0" w:space="0" w:color="auto"/>
        <w:left w:val="none" w:sz="0" w:space="0" w:color="auto"/>
        <w:bottom w:val="none" w:sz="0" w:space="0" w:color="auto"/>
        <w:right w:val="none" w:sz="0" w:space="0" w:color="auto"/>
      </w:divBdr>
    </w:div>
    <w:div w:id="1191915071">
      <w:bodyDiv w:val="1"/>
      <w:marLeft w:val="0"/>
      <w:marRight w:val="0"/>
      <w:marTop w:val="0"/>
      <w:marBottom w:val="0"/>
      <w:divBdr>
        <w:top w:val="none" w:sz="0" w:space="0" w:color="auto"/>
        <w:left w:val="none" w:sz="0" w:space="0" w:color="auto"/>
        <w:bottom w:val="none" w:sz="0" w:space="0" w:color="auto"/>
        <w:right w:val="none" w:sz="0" w:space="0" w:color="auto"/>
      </w:divBdr>
    </w:div>
    <w:div w:id="1246769192">
      <w:bodyDiv w:val="1"/>
      <w:marLeft w:val="0"/>
      <w:marRight w:val="0"/>
      <w:marTop w:val="0"/>
      <w:marBottom w:val="0"/>
      <w:divBdr>
        <w:top w:val="none" w:sz="0" w:space="0" w:color="auto"/>
        <w:left w:val="none" w:sz="0" w:space="0" w:color="auto"/>
        <w:bottom w:val="none" w:sz="0" w:space="0" w:color="auto"/>
        <w:right w:val="none" w:sz="0" w:space="0" w:color="auto"/>
      </w:divBdr>
    </w:div>
    <w:div w:id="1361395853">
      <w:bodyDiv w:val="1"/>
      <w:marLeft w:val="0"/>
      <w:marRight w:val="0"/>
      <w:marTop w:val="0"/>
      <w:marBottom w:val="0"/>
      <w:divBdr>
        <w:top w:val="none" w:sz="0" w:space="0" w:color="auto"/>
        <w:left w:val="none" w:sz="0" w:space="0" w:color="auto"/>
        <w:bottom w:val="none" w:sz="0" w:space="0" w:color="auto"/>
        <w:right w:val="none" w:sz="0" w:space="0" w:color="auto"/>
      </w:divBdr>
    </w:div>
    <w:div w:id="1374577752">
      <w:bodyDiv w:val="1"/>
      <w:marLeft w:val="0"/>
      <w:marRight w:val="0"/>
      <w:marTop w:val="0"/>
      <w:marBottom w:val="0"/>
      <w:divBdr>
        <w:top w:val="none" w:sz="0" w:space="0" w:color="auto"/>
        <w:left w:val="none" w:sz="0" w:space="0" w:color="auto"/>
        <w:bottom w:val="none" w:sz="0" w:space="0" w:color="auto"/>
        <w:right w:val="none" w:sz="0" w:space="0" w:color="auto"/>
      </w:divBdr>
    </w:div>
    <w:div w:id="1389961171">
      <w:bodyDiv w:val="1"/>
      <w:marLeft w:val="0"/>
      <w:marRight w:val="0"/>
      <w:marTop w:val="0"/>
      <w:marBottom w:val="0"/>
      <w:divBdr>
        <w:top w:val="none" w:sz="0" w:space="0" w:color="auto"/>
        <w:left w:val="none" w:sz="0" w:space="0" w:color="auto"/>
        <w:bottom w:val="none" w:sz="0" w:space="0" w:color="auto"/>
        <w:right w:val="none" w:sz="0" w:space="0" w:color="auto"/>
      </w:divBdr>
    </w:div>
    <w:div w:id="1416129815">
      <w:bodyDiv w:val="1"/>
      <w:marLeft w:val="0"/>
      <w:marRight w:val="0"/>
      <w:marTop w:val="0"/>
      <w:marBottom w:val="0"/>
      <w:divBdr>
        <w:top w:val="none" w:sz="0" w:space="0" w:color="auto"/>
        <w:left w:val="none" w:sz="0" w:space="0" w:color="auto"/>
        <w:bottom w:val="none" w:sz="0" w:space="0" w:color="auto"/>
        <w:right w:val="none" w:sz="0" w:space="0" w:color="auto"/>
      </w:divBdr>
    </w:div>
    <w:div w:id="1433625566">
      <w:bodyDiv w:val="1"/>
      <w:marLeft w:val="0"/>
      <w:marRight w:val="0"/>
      <w:marTop w:val="0"/>
      <w:marBottom w:val="0"/>
      <w:divBdr>
        <w:top w:val="none" w:sz="0" w:space="0" w:color="auto"/>
        <w:left w:val="none" w:sz="0" w:space="0" w:color="auto"/>
        <w:bottom w:val="none" w:sz="0" w:space="0" w:color="auto"/>
        <w:right w:val="none" w:sz="0" w:space="0" w:color="auto"/>
      </w:divBdr>
    </w:div>
    <w:div w:id="1483934964">
      <w:bodyDiv w:val="1"/>
      <w:marLeft w:val="0"/>
      <w:marRight w:val="0"/>
      <w:marTop w:val="0"/>
      <w:marBottom w:val="0"/>
      <w:divBdr>
        <w:top w:val="none" w:sz="0" w:space="0" w:color="auto"/>
        <w:left w:val="none" w:sz="0" w:space="0" w:color="auto"/>
        <w:bottom w:val="none" w:sz="0" w:space="0" w:color="auto"/>
        <w:right w:val="none" w:sz="0" w:space="0" w:color="auto"/>
      </w:divBdr>
    </w:div>
    <w:div w:id="1571189914">
      <w:bodyDiv w:val="1"/>
      <w:marLeft w:val="0"/>
      <w:marRight w:val="0"/>
      <w:marTop w:val="0"/>
      <w:marBottom w:val="0"/>
      <w:divBdr>
        <w:top w:val="none" w:sz="0" w:space="0" w:color="auto"/>
        <w:left w:val="none" w:sz="0" w:space="0" w:color="auto"/>
        <w:bottom w:val="none" w:sz="0" w:space="0" w:color="auto"/>
        <w:right w:val="none" w:sz="0" w:space="0" w:color="auto"/>
      </w:divBdr>
    </w:div>
    <w:div w:id="1649477777">
      <w:bodyDiv w:val="1"/>
      <w:marLeft w:val="0"/>
      <w:marRight w:val="0"/>
      <w:marTop w:val="0"/>
      <w:marBottom w:val="0"/>
      <w:divBdr>
        <w:top w:val="none" w:sz="0" w:space="0" w:color="auto"/>
        <w:left w:val="none" w:sz="0" w:space="0" w:color="auto"/>
        <w:bottom w:val="none" w:sz="0" w:space="0" w:color="auto"/>
        <w:right w:val="none" w:sz="0" w:space="0" w:color="auto"/>
      </w:divBdr>
    </w:div>
    <w:div w:id="1683169875">
      <w:bodyDiv w:val="1"/>
      <w:marLeft w:val="0"/>
      <w:marRight w:val="0"/>
      <w:marTop w:val="0"/>
      <w:marBottom w:val="0"/>
      <w:divBdr>
        <w:top w:val="none" w:sz="0" w:space="0" w:color="auto"/>
        <w:left w:val="none" w:sz="0" w:space="0" w:color="auto"/>
        <w:bottom w:val="none" w:sz="0" w:space="0" w:color="auto"/>
        <w:right w:val="none" w:sz="0" w:space="0" w:color="auto"/>
      </w:divBdr>
    </w:div>
    <w:div w:id="1707487157">
      <w:bodyDiv w:val="1"/>
      <w:marLeft w:val="0"/>
      <w:marRight w:val="0"/>
      <w:marTop w:val="0"/>
      <w:marBottom w:val="0"/>
      <w:divBdr>
        <w:top w:val="none" w:sz="0" w:space="0" w:color="auto"/>
        <w:left w:val="none" w:sz="0" w:space="0" w:color="auto"/>
        <w:bottom w:val="none" w:sz="0" w:space="0" w:color="auto"/>
        <w:right w:val="none" w:sz="0" w:space="0" w:color="auto"/>
      </w:divBdr>
    </w:div>
    <w:div w:id="1735615096">
      <w:bodyDiv w:val="1"/>
      <w:marLeft w:val="0"/>
      <w:marRight w:val="0"/>
      <w:marTop w:val="0"/>
      <w:marBottom w:val="0"/>
      <w:divBdr>
        <w:top w:val="none" w:sz="0" w:space="0" w:color="auto"/>
        <w:left w:val="none" w:sz="0" w:space="0" w:color="auto"/>
        <w:bottom w:val="none" w:sz="0" w:space="0" w:color="auto"/>
        <w:right w:val="none" w:sz="0" w:space="0" w:color="auto"/>
      </w:divBdr>
    </w:div>
    <w:div w:id="1826622817">
      <w:bodyDiv w:val="1"/>
      <w:marLeft w:val="0"/>
      <w:marRight w:val="0"/>
      <w:marTop w:val="0"/>
      <w:marBottom w:val="0"/>
      <w:divBdr>
        <w:top w:val="none" w:sz="0" w:space="0" w:color="auto"/>
        <w:left w:val="none" w:sz="0" w:space="0" w:color="auto"/>
        <w:bottom w:val="none" w:sz="0" w:space="0" w:color="auto"/>
        <w:right w:val="none" w:sz="0" w:space="0" w:color="auto"/>
      </w:divBdr>
    </w:div>
    <w:div w:id="1862738500">
      <w:bodyDiv w:val="1"/>
      <w:marLeft w:val="0"/>
      <w:marRight w:val="0"/>
      <w:marTop w:val="0"/>
      <w:marBottom w:val="0"/>
      <w:divBdr>
        <w:top w:val="none" w:sz="0" w:space="0" w:color="auto"/>
        <w:left w:val="none" w:sz="0" w:space="0" w:color="auto"/>
        <w:bottom w:val="none" w:sz="0" w:space="0" w:color="auto"/>
        <w:right w:val="none" w:sz="0" w:space="0" w:color="auto"/>
      </w:divBdr>
    </w:div>
    <w:div w:id="1945572088">
      <w:bodyDiv w:val="1"/>
      <w:marLeft w:val="0"/>
      <w:marRight w:val="0"/>
      <w:marTop w:val="0"/>
      <w:marBottom w:val="0"/>
      <w:divBdr>
        <w:top w:val="none" w:sz="0" w:space="0" w:color="auto"/>
        <w:left w:val="none" w:sz="0" w:space="0" w:color="auto"/>
        <w:bottom w:val="none" w:sz="0" w:space="0" w:color="auto"/>
        <w:right w:val="none" w:sz="0" w:space="0" w:color="auto"/>
      </w:divBdr>
    </w:div>
    <w:div w:id="1953046868">
      <w:bodyDiv w:val="1"/>
      <w:marLeft w:val="0"/>
      <w:marRight w:val="0"/>
      <w:marTop w:val="0"/>
      <w:marBottom w:val="0"/>
      <w:divBdr>
        <w:top w:val="none" w:sz="0" w:space="0" w:color="auto"/>
        <w:left w:val="none" w:sz="0" w:space="0" w:color="auto"/>
        <w:bottom w:val="none" w:sz="0" w:space="0" w:color="auto"/>
        <w:right w:val="none" w:sz="0" w:space="0" w:color="auto"/>
      </w:divBdr>
    </w:div>
    <w:div w:id="1970545941">
      <w:bodyDiv w:val="1"/>
      <w:marLeft w:val="0"/>
      <w:marRight w:val="0"/>
      <w:marTop w:val="0"/>
      <w:marBottom w:val="0"/>
      <w:divBdr>
        <w:top w:val="none" w:sz="0" w:space="0" w:color="auto"/>
        <w:left w:val="none" w:sz="0" w:space="0" w:color="auto"/>
        <w:bottom w:val="none" w:sz="0" w:space="0" w:color="auto"/>
        <w:right w:val="none" w:sz="0" w:space="0" w:color="auto"/>
      </w:divBdr>
    </w:div>
    <w:div w:id="2044211896">
      <w:bodyDiv w:val="1"/>
      <w:marLeft w:val="0"/>
      <w:marRight w:val="0"/>
      <w:marTop w:val="0"/>
      <w:marBottom w:val="0"/>
      <w:divBdr>
        <w:top w:val="none" w:sz="0" w:space="0" w:color="auto"/>
        <w:left w:val="none" w:sz="0" w:space="0" w:color="auto"/>
        <w:bottom w:val="none" w:sz="0" w:space="0" w:color="auto"/>
        <w:right w:val="none" w:sz="0" w:space="0" w:color="auto"/>
      </w:divBdr>
    </w:div>
    <w:div w:id="2062247613">
      <w:bodyDiv w:val="1"/>
      <w:marLeft w:val="0"/>
      <w:marRight w:val="0"/>
      <w:marTop w:val="0"/>
      <w:marBottom w:val="0"/>
      <w:divBdr>
        <w:top w:val="none" w:sz="0" w:space="0" w:color="auto"/>
        <w:left w:val="none" w:sz="0" w:space="0" w:color="auto"/>
        <w:bottom w:val="none" w:sz="0" w:space="0" w:color="auto"/>
        <w:right w:val="none" w:sz="0" w:space="0" w:color="auto"/>
      </w:divBdr>
    </w:div>
    <w:div w:id="21275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A41A-F49D-41B3-BE79-B3A8C412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DDB439F0</Template>
  <TotalTime>190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Zealand Lotteries Commission</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Mazur</dc:creator>
  <cp:lastModifiedBy>Kirsten Robinson</cp:lastModifiedBy>
  <cp:revision>7</cp:revision>
  <cp:lastPrinted>2018-08-01T23:52:00Z</cp:lastPrinted>
  <dcterms:created xsi:type="dcterms:W3CDTF">2018-08-01T02:10:00Z</dcterms:created>
  <dcterms:modified xsi:type="dcterms:W3CDTF">2018-08-02T03:46:00Z</dcterms:modified>
</cp:coreProperties>
</file>