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DE" w:rsidRPr="00BD17DE" w:rsidRDefault="00BD17DE">
      <w:pPr>
        <w:rPr>
          <w:b/>
          <w:sz w:val="72"/>
        </w:rPr>
      </w:pPr>
      <w:r w:rsidRPr="00BD17DE">
        <w:rPr>
          <w:b/>
          <w:sz w:val="72"/>
        </w:rPr>
        <w:t>Agenda</w:t>
      </w:r>
      <w:bookmarkStart w:id="0" w:name="_GoBack"/>
      <w:bookmarkEnd w:id="0"/>
    </w:p>
    <w:p w:rsidR="00BD17DE" w:rsidRDefault="00BD17DE"/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7343"/>
      </w:tblGrid>
      <w:tr w:rsidR="00F9028E" w:rsidRPr="00070FE1" w:rsidTr="00BD17DE">
        <w:trPr>
          <w:trHeight w:val="480"/>
        </w:trPr>
        <w:tc>
          <w:tcPr>
            <w:tcW w:w="1729" w:type="dxa"/>
          </w:tcPr>
          <w:p w:rsidR="00F9028E" w:rsidRPr="00070FE1" w:rsidRDefault="00F9028E" w:rsidP="00D11836">
            <w:pPr>
              <w:pStyle w:val="GWContactHeadings"/>
              <w:spacing w:line="240" w:lineRule="auto"/>
              <w:rPr>
                <w:rFonts w:asciiTheme="minorHAnsi" w:hAnsiTheme="minorHAnsi" w:cstheme="minorHAnsi"/>
              </w:rPr>
            </w:pPr>
            <w:r w:rsidRPr="00070FE1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7343" w:type="dxa"/>
          </w:tcPr>
          <w:p w:rsidR="00F9028E" w:rsidRPr="00070FE1" w:rsidRDefault="00F9028E" w:rsidP="00F9028E">
            <w:pPr>
              <w:pStyle w:val="GWContactDetails"/>
              <w:rPr>
                <w:rFonts w:asciiTheme="minorHAnsi" w:hAnsiTheme="minorHAnsi" w:cstheme="minorHAnsi"/>
                <w:b/>
              </w:rPr>
            </w:pPr>
            <w:bookmarkStart w:id="1" w:name="Subject"/>
            <w:bookmarkEnd w:id="1"/>
            <w:r>
              <w:rPr>
                <w:rFonts w:asciiTheme="minorHAnsi" w:hAnsiTheme="minorHAnsi" w:cstheme="minorHAnsi"/>
                <w:b/>
              </w:rPr>
              <w:t>Regional approach to intensification under the NPS UD</w:t>
            </w:r>
          </w:p>
        </w:tc>
      </w:tr>
      <w:tr w:rsidR="00F9028E" w:rsidRPr="00070FE1" w:rsidTr="00BD17DE">
        <w:trPr>
          <w:trHeight w:val="480"/>
        </w:trPr>
        <w:tc>
          <w:tcPr>
            <w:tcW w:w="1729" w:type="dxa"/>
          </w:tcPr>
          <w:p w:rsidR="00F9028E" w:rsidRPr="00070FE1" w:rsidRDefault="00F9028E" w:rsidP="00D11836">
            <w:pPr>
              <w:pStyle w:val="GWContactHeadings"/>
              <w:spacing w:line="240" w:lineRule="auto"/>
              <w:rPr>
                <w:rFonts w:asciiTheme="minorHAnsi" w:hAnsiTheme="minorHAnsi" w:cstheme="minorHAnsi"/>
              </w:rPr>
            </w:pPr>
            <w:r w:rsidRPr="00070FE1">
              <w:rPr>
                <w:rFonts w:asciiTheme="minorHAnsi" w:hAnsiTheme="minorHAnsi" w:cstheme="minorHAnsi"/>
              </w:rPr>
              <w:t>WHEN</w:t>
            </w:r>
          </w:p>
        </w:tc>
        <w:tc>
          <w:tcPr>
            <w:tcW w:w="7343" w:type="dxa"/>
          </w:tcPr>
          <w:p w:rsidR="00F9028E" w:rsidRPr="00070FE1" w:rsidRDefault="00F9028E" w:rsidP="00BD17DE">
            <w:pPr>
              <w:pStyle w:val="GWContactDetails"/>
              <w:rPr>
                <w:rFonts w:asciiTheme="minorHAnsi" w:hAnsiTheme="minorHAnsi" w:cstheme="minorHAnsi"/>
              </w:rPr>
            </w:pPr>
            <w:bookmarkStart w:id="2" w:name="DateOfMeeting"/>
            <w:bookmarkEnd w:id="2"/>
            <w:r>
              <w:rPr>
                <w:rFonts w:asciiTheme="minorHAnsi" w:hAnsiTheme="minorHAnsi" w:cstheme="minorHAnsi"/>
              </w:rPr>
              <w:t xml:space="preserve">Wednesday </w:t>
            </w:r>
            <w:r w:rsidR="00BD17DE">
              <w:rPr>
                <w:rFonts w:asciiTheme="minorHAnsi" w:hAnsiTheme="minorHAnsi" w:cstheme="minorHAnsi"/>
              </w:rPr>
              <w:t>24</w:t>
            </w:r>
            <w:r>
              <w:rPr>
                <w:rFonts w:asciiTheme="minorHAnsi" w:hAnsiTheme="minorHAnsi" w:cstheme="minorHAnsi"/>
              </w:rPr>
              <w:t xml:space="preserve"> February</w:t>
            </w:r>
            <w:r w:rsidRPr="00070FE1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1 1:</w:t>
            </w:r>
            <w:r w:rsidR="00BD17DE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>-</w:t>
            </w:r>
            <w:r w:rsidR="00BD17DE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:</w:t>
            </w:r>
            <w:r w:rsidR="00BD17DE">
              <w:rPr>
                <w:rFonts w:asciiTheme="minorHAnsi" w:hAnsiTheme="minorHAnsi" w:cstheme="minorHAnsi"/>
              </w:rPr>
              <w:t>00p</w:t>
            </w:r>
            <w:r>
              <w:rPr>
                <w:rFonts w:asciiTheme="minorHAnsi" w:hAnsiTheme="minorHAnsi" w:cstheme="minorHAnsi"/>
              </w:rPr>
              <w:t>m</w:t>
            </w:r>
          </w:p>
        </w:tc>
      </w:tr>
      <w:tr w:rsidR="00F9028E" w:rsidRPr="00070FE1" w:rsidTr="00BD17DE">
        <w:trPr>
          <w:trHeight w:val="480"/>
        </w:trPr>
        <w:tc>
          <w:tcPr>
            <w:tcW w:w="1729" w:type="dxa"/>
          </w:tcPr>
          <w:p w:rsidR="00F9028E" w:rsidRPr="00070FE1" w:rsidRDefault="00F9028E" w:rsidP="00D11836">
            <w:pPr>
              <w:pStyle w:val="GWContactHeadings"/>
              <w:spacing w:line="240" w:lineRule="auto"/>
              <w:rPr>
                <w:rFonts w:asciiTheme="minorHAnsi" w:hAnsiTheme="minorHAnsi" w:cstheme="minorHAnsi"/>
              </w:rPr>
            </w:pPr>
            <w:r w:rsidRPr="00070FE1">
              <w:rPr>
                <w:rFonts w:asciiTheme="minorHAnsi" w:hAnsiTheme="minorHAnsi" w:cstheme="minorHAnsi"/>
              </w:rPr>
              <w:t>WHERE</w:t>
            </w:r>
          </w:p>
        </w:tc>
        <w:tc>
          <w:tcPr>
            <w:tcW w:w="7343" w:type="dxa"/>
          </w:tcPr>
          <w:p w:rsidR="00BD17DE" w:rsidRPr="00070FE1" w:rsidRDefault="00BD17DE" w:rsidP="00BD17DE">
            <w:pPr>
              <w:pStyle w:val="GWContactDetails"/>
              <w:rPr>
                <w:rFonts w:asciiTheme="minorHAnsi" w:hAnsiTheme="minorHAnsi" w:cstheme="minorHAnsi"/>
              </w:rPr>
            </w:pPr>
            <w:bookmarkStart w:id="3" w:name="To"/>
            <w:bookmarkStart w:id="4" w:name="LocationOfMeeting"/>
            <w:bookmarkEnd w:id="3"/>
            <w:bookmarkEnd w:id="4"/>
            <w:r w:rsidRPr="00BD17DE">
              <w:rPr>
                <w:rFonts w:asciiTheme="minorHAnsi" w:hAnsiTheme="minorHAnsi" w:cstheme="minorHAnsi"/>
              </w:rPr>
              <w:t>Greater Wellington Regional Council</w:t>
            </w:r>
            <w:r>
              <w:rPr>
                <w:rFonts w:asciiTheme="minorHAnsi" w:hAnsiTheme="minorHAnsi" w:cstheme="minorHAnsi"/>
              </w:rPr>
              <w:t xml:space="preserve">, 100 </w:t>
            </w:r>
            <w:r w:rsidR="00F9028E">
              <w:rPr>
                <w:rFonts w:asciiTheme="minorHAnsi" w:hAnsiTheme="minorHAnsi" w:cstheme="minorHAnsi"/>
              </w:rPr>
              <w:t xml:space="preserve">Cuba </w:t>
            </w:r>
            <w:r>
              <w:rPr>
                <w:rFonts w:asciiTheme="minorHAnsi" w:hAnsiTheme="minorHAnsi" w:cstheme="minorHAnsi"/>
              </w:rPr>
              <w:t xml:space="preserve">Street </w:t>
            </w:r>
            <w:r w:rsidR="00F9028E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Rūma Ako</w:t>
            </w:r>
            <w:r w:rsidR="00F9028E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2.11</w:t>
            </w:r>
          </w:p>
        </w:tc>
      </w:tr>
      <w:tr w:rsidR="00F9028E" w:rsidRPr="00070FE1" w:rsidTr="00BD17DE">
        <w:trPr>
          <w:trHeight w:val="480"/>
        </w:trPr>
        <w:tc>
          <w:tcPr>
            <w:tcW w:w="1729" w:type="dxa"/>
            <w:tcBorders>
              <w:bottom w:val="single" w:sz="4" w:space="0" w:color="auto"/>
            </w:tcBorders>
          </w:tcPr>
          <w:p w:rsidR="00F9028E" w:rsidRPr="00070FE1" w:rsidRDefault="00F9028E" w:rsidP="00D11836">
            <w:pPr>
              <w:pStyle w:val="GWContactHeadings"/>
              <w:spacing w:after="284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ATTENDEES</w:t>
            </w:r>
          </w:p>
        </w:tc>
        <w:tc>
          <w:tcPr>
            <w:tcW w:w="7343" w:type="dxa"/>
            <w:tcBorders>
              <w:bottom w:val="single" w:sz="4" w:space="0" w:color="auto"/>
            </w:tcBorders>
          </w:tcPr>
          <w:p w:rsidR="00F9028E" w:rsidRDefault="00F9028E" w:rsidP="00F9028E">
            <w:pPr>
              <w:rPr>
                <w:sz w:val="24"/>
              </w:rPr>
            </w:pPr>
            <w:bookmarkStart w:id="5" w:name="FileRef1"/>
            <w:bookmarkEnd w:id="5"/>
            <w:r w:rsidRPr="00F9028E">
              <w:rPr>
                <w:sz w:val="24"/>
              </w:rPr>
              <w:t xml:space="preserve">Julie Cook (KO), Lucie Desrosiers (WCC), Grant Fletcher (GW), Amy Helm (GW), Sherilyn Hinton (WCC), Jason Holland (KCDC), Joseph Jeffries (HCC), Amy Kearse (WK), Ike </w:t>
            </w:r>
            <w:proofErr w:type="spellStart"/>
            <w:r w:rsidRPr="00F9028E">
              <w:rPr>
                <w:sz w:val="24"/>
              </w:rPr>
              <w:t>Kleynbos</w:t>
            </w:r>
            <w:proofErr w:type="spellEnd"/>
            <w:r w:rsidRPr="00F9028E">
              <w:rPr>
                <w:sz w:val="24"/>
              </w:rPr>
              <w:t xml:space="preserve"> (UHCC), </w:t>
            </w:r>
            <w:r w:rsidR="00BD17DE">
              <w:rPr>
                <w:sz w:val="24"/>
              </w:rPr>
              <w:t>Aaron Masagnay (WK), Fleur </w:t>
            </w:r>
            <w:r w:rsidRPr="00F9028E">
              <w:rPr>
                <w:sz w:val="24"/>
              </w:rPr>
              <w:t>Matthews (GW), Torrey</w:t>
            </w:r>
            <w:r>
              <w:rPr>
                <w:sz w:val="24"/>
              </w:rPr>
              <w:t> </w:t>
            </w:r>
            <w:r w:rsidRPr="00F9028E">
              <w:rPr>
                <w:sz w:val="24"/>
              </w:rPr>
              <w:t>McDonnell (PCC), Emmet McElhatton (GW), Stewart McKenzie (PCC), Fleur Rodway (</w:t>
            </w:r>
            <w:proofErr w:type="spellStart"/>
            <w:r w:rsidRPr="00F9028E">
              <w:rPr>
                <w:sz w:val="24"/>
              </w:rPr>
              <w:t>MfE</w:t>
            </w:r>
            <w:proofErr w:type="spellEnd"/>
            <w:r w:rsidRPr="00F9028E">
              <w:rPr>
                <w:sz w:val="24"/>
              </w:rPr>
              <w:t xml:space="preserve">), Tim Shackleton (GW), </w:t>
            </w:r>
            <w:r w:rsidR="00BD17DE">
              <w:rPr>
                <w:sz w:val="24"/>
              </w:rPr>
              <w:t>Gurv </w:t>
            </w:r>
            <w:r w:rsidRPr="00F9028E">
              <w:rPr>
                <w:sz w:val="24"/>
              </w:rPr>
              <w:t>Singh (KO), Hamish Wesney (HCC).</w:t>
            </w:r>
          </w:p>
          <w:p w:rsidR="00BD17DE" w:rsidRPr="00F9028E" w:rsidRDefault="00BD17DE" w:rsidP="00F9028E">
            <w:pPr>
              <w:rPr>
                <w:sz w:val="24"/>
              </w:rPr>
            </w:pPr>
          </w:p>
        </w:tc>
      </w:tr>
      <w:tr w:rsidR="00F9028E" w:rsidRPr="00070FE1" w:rsidTr="00BD17DE">
        <w:trPr>
          <w:gridAfter w:val="1"/>
          <w:wAfter w:w="7343" w:type="dxa"/>
          <w:cantSplit/>
          <w:trHeight w:hRule="exact" w:val="40"/>
        </w:trPr>
        <w:tc>
          <w:tcPr>
            <w:tcW w:w="1729" w:type="dxa"/>
          </w:tcPr>
          <w:p w:rsidR="00F9028E" w:rsidRPr="00070FE1" w:rsidRDefault="00F9028E" w:rsidP="00D11836">
            <w:pPr>
              <w:pStyle w:val="GWContactDetails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9028E" w:rsidRPr="00070FE1" w:rsidRDefault="00F9028E" w:rsidP="00F9028E">
      <w:pPr>
        <w:pStyle w:val="Fill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5240"/>
        <w:gridCol w:w="1275"/>
        <w:gridCol w:w="1650"/>
      </w:tblGrid>
      <w:tr w:rsidR="00BD17DE" w:rsidRPr="00BD17DE" w:rsidTr="00BD17DE">
        <w:tc>
          <w:tcPr>
            <w:tcW w:w="5240" w:type="dxa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ind w:left="851" w:hanging="851"/>
              <w:rPr>
                <w:rFonts w:asciiTheme="minorHAnsi" w:hAnsiTheme="minorHAnsi" w:cstheme="minorHAnsi"/>
                <w:sz w:val="24"/>
              </w:rPr>
            </w:pPr>
            <w:r w:rsidRPr="00BD17DE">
              <w:rPr>
                <w:rFonts w:asciiTheme="minorHAnsi" w:hAnsiTheme="minorHAnsi" w:cstheme="minorHAnsi"/>
                <w:sz w:val="24"/>
              </w:rPr>
              <w:t>Item</w:t>
            </w:r>
          </w:p>
        </w:tc>
        <w:tc>
          <w:tcPr>
            <w:tcW w:w="1275" w:type="dxa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  <w:r w:rsidRPr="00BD17DE">
              <w:rPr>
                <w:rFonts w:asciiTheme="minorHAnsi" w:hAnsiTheme="minorHAnsi" w:cstheme="minorHAnsi"/>
                <w:sz w:val="24"/>
              </w:rPr>
              <w:t>Time</w:t>
            </w:r>
          </w:p>
        </w:tc>
        <w:tc>
          <w:tcPr>
            <w:tcW w:w="1650" w:type="dxa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  <w:r w:rsidRPr="00BD17DE">
              <w:rPr>
                <w:rFonts w:asciiTheme="minorHAnsi" w:hAnsiTheme="minorHAnsi" w:cstheme="minorHAnsi"/>
                <w:sz w:val="24"/>
              </w:rPr>
              <w:t>Lead</w:t>
            </w:r>
          </w:p>
        </w:tc>
      </w:tr>
      <w:tr w:rsidR="00BD17DE" w:rsidRPr="00BD17DE" w:rsidTr="00BD17DE">
        <w:tc>
          <w:tcPr>
            <w:tcW w:w="5240" w:type="dxa"/>
          </w:tcPr>
          <w:p w:rsidR="00BD17DE" w:rsidRPr="00BD17DE" w:rsidRDefault="00BD17DE" w:rsidP="00FB4E8D">
            <w:pPr>
              <w:pStyle w:val="GWOutlineA1"/>
              <w:rPr>
                <w:rFonts w:asciiTheme="minorHAnsi" w:hAnsiTheme="minorHAnsi" w:cstheme="minorHAnsi"/>
                <w:b w:val="0"/>
                <w:sz w:val="24"/>
              </w:rPr>
            </w:pPr>
            <w:r w:rsidRPr="00BD17DE">
              <w:rPr>
                <w:rFonts w:asciiTheme="minorHAnsi" w:hAnsiTheme="minorHAnsi" w:cstheme="minorHAnsi"/>
                <w:b w:val="0"/>
                <w:sz w:val="24"/>
              </w:rPr>
              <w:t>Welcome and introductions</w:t>
            </w:r>
          </w:p>
        </w:tc>
        <w:tc>
          <w:tcPr>
            <w:tcW w:w="1275" w:type="dxa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1:00</w:t>
            </w:r>
          </w:p>
        </w:tc>
        <w:tc>
          <w:tcPr>
            <w:tcW w:w="1650" w:type="dxa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All</w:t>
            </w:r>
          </w:p>
        </w:tc>
      </w:tr>
      <w:tr w:rsidR="00BD17DE" w:rsidRPr="00BD17DE" w:rsidTr="00BD17DE">
        <w:tc>
          <w:tcPr>
            <w:tcW w:w="5240" w:type="dxa"/>
          </w:tcPr>
          <w:p w:rsidR="00BD17DE" w:rsidRPr="00BD17DE" w:rsidRDefault="00BD17DE" w:rsidP="00FB4E8D">
            <w:pPr>
              <w:pStyle w:val="GWOutlineA1"/>
              <w:rPr>
                <w:rFonts w:asciiTheme="minorHAnsi" w:hAnsiTheme="minorHAnsi" w:cstheme="minorHAnsi"/>
                <w:b w:val="0"/>
                <w:sz w:val="24"/>
              </w:rPr>
            </w:pPr>
            <w:r w:rsidRPr="00BD17DE">
              <w:rPr>
                <w:rFonts w:asciiTheme="minorHAnsi" w:hAnsiTheme="minorHAnsi" w:cstheme="minorHAnsi"/>
                <w:b w:val="0"/>
                <w:sz w:val="24"/>
              </w:rPr>
              <w:t>Agree purpose – to determine where we can get regional consistency around key elements of Policy 3 of the NPS UD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 (and actually agree some of it?)</w:t>
            </w:r>
          </w:p>
        </w:tc>
        <w:tc>
          <w:tcPr>
            <w:tcW w:w="1275" w:type="dxa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1:10</w:t>
            </w:r>
          </w:p>
        </w:tc>
        <w:tc>
          <w:tcPr>
            <w:tcW w:w="1650" w:type="dxa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Fleur M</w:t>
            </w:r>
          </w:p>
        </w:tc>
      </w:tr>
      <w:tr w:rsidR="00BD17DE" w:rsidRPr="00BD17DE" w:rsidTr="00BD17DE">
        <w:tc>
          <w:tcPr>
            <w:tcW w:w="5240" w:type="dxa"/>
          </w:tcPr>
          <w:p w:rsidR="00BD17DE" w:rsidRPr="00BD17DE" w:rsidRDefault="00BD17DE" w:rsidP="00FB4E8D">
            <w:pPr>
              <w:pStyle w:val="GWOutlineA1"/>
              <w:rPr>
                <w:rFonts w:asciiTheme="minorHAnsi" w:hAnsiTheme="minorHAnsi" w:cstheme="minorHAnsi"/>
                <w:b w:val="0"/>
                <w:sz w:val="24"/>
              </w:rPr>
            </w:pPr>
            <w:r w:rsidRPr="00BD17DE">
              <w:rPr>
                <w:rFonts w:asciiTheme="minorHAnsi" w:hAnsiTheme="minorHAnsi" w:cstheme="minorHAnsi"/>
                <w:b w:val="0"/>
                <w:sz w:val="24"/>
              </w:rPr>
              <w:t>RLTP description of rapid transit</w:t>
            </w:r>
          </w:p>
        </w:tc>
        <w:tc>
          <w:tcPr>
            <w:tcW w:w="1275" w:type="dxa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1:20</w:t>
            </w:r>
          </w:p>
        </w:tc>
        <w:tc>
          <w:tcPr>
            <w:tcW w:w="1650" w:type="dxa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Amy H</w:t>
            </w:r>
          </w:p>
        </w:tc>
      </w:tr>
      <w:tr w:rsidR="00BD17DE" w:rsidRPr="00BD17DE" w:rsidTr="00BD17DE">
        <w:tc>
          <w:tcPr>
            <w:tcW w:w="5240" w:type="dxa"/>
          </w:tcPr>
          <w:p w:rsidR="00BD17DE" w:rsidRPr="00BD17DE" w:rsidRDefault="00BD17DE" w:rsidP="00FB4E8D">
            <w:pPr>
              <w:pStyle w:val="GWOutlineA1"/>
              <w:rPr>
                <w:rFonts w:asciiTheme="minorHAnsi" w:hAnsiTheme="minorHAnsi" w:cstheme="minorHAnsi"/>
                <w:b w:val="0"/>
                <w:sz w:val="24"/>
              </w:rPr>
            </w:pPr>
            <w:r w:rsidRPr="00BD17DE">
              <w:rPr>
                <w:rFonts w:asciiTheme="minorHAnsi" w:hAnsiTheme="minorHAnsi" w:cstheme="minorHAnsi"/>
                <w:b w:val="0"/>
                <w:sz w:val="24"/>
              </w:rPr>
              <w:t>Overview of planned public transport</w:t>
            </w:r>
          </w:p>
        </w:tc>
        <w:tc>
          <w:tcPr>
            <w:tcW w:w="1275" w:type="dxa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1:30</w:t>
            </w:r>
          </w:p>
        </w:tc>
        <w:tc>
          <w:tcPr>
            <w:tcW w:w="1650" w:type="dxa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Tim / Emmet</w:t>
            </w:r>
          </w:p>
        </w:tc>
      </w:tr>
      <w:tr w:rsidR="00BD17DE" w:rsidRPr="00BD17DE" w:rsidTr="00BD17DE">
        <w:tc>
          <w:tcPr>
            <w:tcW w:w="5240" w:type="dxa"/>
          </w:tcPr>
          <w:p w:rsidR="00BD17DE" w:rsidRPr="00BD17DE" w:rsidRDefault="00BD17DE" w:rsidP="008D28F5">
            <w:pPr>
              <w:pStyle w:val="GWOutlineA1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Break-out groups: </w:t>
            </w:r>
            <w:r w:rsidRPr="00BD17DE">
              <w:rPr>
                <w:rFonts w:asciiTheme="minorHAnsi" w:hAnsiTheme="minorHAnsi" w:cstheme="minorHAnsi"/>
                <w:b w:val="0"/>
                <w:sz w:val="24"/>
              </w:rPr>
              <w:t>What areas might we be able to establish regional consistency?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 What can we agree on now?</w:t>
            </w:r>
            <w:r w:rsidR="008D28F5">
              <w:rPr>
                <w:rFonts w:asciiTheme="minorHAnsi" w:hAnsiTheme="minorHAnsi" w:cstheme="minorHAnsi"/>
                <w:b w:val="0"/>
                <w:sz w:val="24"/>
              </w:rPr>
              <w:t xml:space="preserve"> What do we think we’ll be able to agree on with some more work?</w:t>
            </w:r>
          </w:p>
        </w:tc>
        <w:tc>
          <w:tcPr>
            <w:tcW w:w="1275" w:type="dxa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2:00</w:t>
            </w:r>
          </w:p>
        </w:tc>
        <w:tc>
          <w:tcPr>
            <w:tcW w:w="1650" w:type="dxa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All</w:t>
            </w:r>
          </w:p>
        </w:tc>
      </w:tr>
      <w:tr w:rsidR="00BD17DE" w:rsidRPr="00BD17DE" w:rsidTr="001E51FA">
        <w:tc>
          <w:tcPr>
            <w:tcW w:w="8165" w:type="dxa"/>
            <w:gridSpan w:val="3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BD17DE">
              <w:rPr>
                <w:rFonts w:asciiTheme="minorHAnsi" w:hAnsiTheme="minorHAnsi" w:cstheme="minorHAnsi"/>
                <w:b w:val="0"/>
                <w:i/>
                <w:sz w:val="24"/>
              </w:rPr>
              <w:t>Afternoon tea</w:t>
            </w:r>
            <w:r>
              <w:rPr>
                <w:rFonts w:asciiTheme="minorHAnsi" w:hAnsiTheme="minorHAnsi" w:cstheme="minorHAnsi"/>
                <w:b w:val="0"/>
                <w:i/>
                <w:sz w:val="24"/>
              </w:rPr>
              <w:t xml:space="preserve"> (2:30pm)</w:t>
            </w:r>
          </w:p>
        </w:tc>
      </w:tr>
      <w:tr w:rsidR="00BD17DE" w:rsidRPr="00BD17DE" w:rsidTr="00BD17DE">
        <w:tc>
          <w:tcPr>
            <w:tcW w:w="5240" w:type="dxa"/>
          </w:tcPr>
          <w:p w:rsidR="00BD17DE" w:rsidRPr="00BD17DE" w:rsidRDefault="00BD17DE" w:rsidP="00FB4E8D">
            <w:pPr>
              <w:pStyle w:val="GWOutlineA1"/>
              <w:rPr>
                <w:rFonts w:asciiTheme="minorHAnsi" w:hAnsiTheme="minorHAnsi" w:cstheme="minorHAnsi"/>
                <w:b w:val="0"/>
                <w:sz w:val="24"/>
              </w:rPr>
            </w:pPr>
            <w:r w:rsidRPr="00BD17DE">
              <w:rPr>
                <w:rFonts w:asciiTheme="minorHAnsi" w:hAnsiTheme="minorHAnsi" w:cstheme="minorHAnsi"/>
                <w:b w:val="0"/>
                <w:sz w:val="24"/>
              </w:rPr>
              <w:t>Report-back from groups</w:t>
            </w:r>
          </w:p>
        </w:tc>
        <w:tc>
          <w:tcPr>
            <w:tcW w:w="1275" w:type="dxa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3:15</w:t>
            </w:r>
          </w:p>
        </w:tc>
        <w:tc>
          <w:tcPr>
            <w:tcW w:w="1650" w:type="dxa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All</w:t>
            </w:r>
          </w:p>
        </w:tc>
      </w:tr>
      <w:tr w:rsidR="00BD17DE" w:rsidRPr="00BD17DE" w:rsidTr="00BD17DE">
        <w:tc>
          <w:tcPr>
            <w:tcW w:w="5240" w:type="dxa"/>
          </w:tcPr>
          <w:p w:rsidR="00BD17DE" w:rsidRPr="00BD17DE" w:rsidRDefault="00BD17DE" w:rsidP="00FB4E8D">
            <w:pPr>
              <w:pStyle w:val="GWOutlineA1"/>
              <w:rPr>
                <w:rFonts w:asciiTheme="minorHAnsi" w:hAnsiTheme="minorHAnsi" w:cstheme="minorHAnsi"/>
                <w:b w:val="0"/>
                <w:sz w:val="24"/>
              </w:rPr>
            </w:pPr>
            <w:r w:rsidRPr="00BD17DE">
              <w:rPr>
                <w:rFonts w:asciiTheme="minorHAnsi" w:hAnsiTheme="minorHAnsi" w:cstheme="minorHAnsi"/>
                <w:b w:val="0"/>
                <w:sz w:val="24"/>
              </w:rPr>
              <w:t>Next steps</w:t>
            </w:r>
          </w:p>
        </w:tc>
        <w:tc>
          <w:tcPr>
            <w:tcW w:w="1275" w:type="dxa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3:45</w:t>
            </w:r>
          </w:p>
        </w:tc>
        <w:tc>
          <w:tcPr>
            <w:tcW w:w="1650" w:type="dxa"/>
          </w:tcPr>
          <w:p w:rsidR="00BD17DE" w:rsidRPr="00BD17DE" w:rsidRDefault="00BD17DE" w:rsidP="00BD17DE">
            <w:pPr>
              <w:pStyle w:val="GWOutlineA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Fleur M</w:t>
            </w:r>
          </w:p>
        </w:tc>
      </w:tr>
    </w:tbl>
    <w:p w:rsidR="00F9028E" w:rsidRPr="00F9028E" w:rsidRDefault="00F9028E" w:rsidP="00F9028E">
      <w:pPr>
        <w:rPr>
          <w:rFonts w:cstheme="minorHAnsi"/>
          <w:sz w:val="20"/>
          <w:lang w:eastAsia="en-GB"/>
        </w:rPr>
      </w:pPr>
    </w:p>
    <w:p w:rsidR="006E3FD9" w:rsidRDefault="006E3FD9">
      <w:r>
        <w:br w:type="page"/>
      </w:r>
    </w:p>
    <w:p w:rsidR="00BD17DE" w:rsidRDefault="00BD17DE">
      <w:pPr>
        <w:rPr>
          <w:b/>
        </w:rPr>
      </w:pPr>
    </w:p>
    <w:p w:rsidR="006E3FD9" w:rsidRPr="00F9028E" w:rsidRDefault="006E3FD9">
      <w:pPr>
        <w:rPr>
          <w:b/>
        </w:rPr>
      </w:pPr>
      <w:r w:rsidRPr="00F9028E">
        <w:rPr>
          <w:b/>
        </w:rPr>
        <w:t>Attachment: Policy 3 of the National Policy Statement for Urban Development</w:t>
      </w:r>
    </w:p>
    <w:p w:rsidR="006E3FD9" w:rsidRDefault="006E3FD9" w:rsidP="006E3FD9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Policy 3: </w:t>
      </w:r>
      <w:r>
        <w:rPr>
          <w:sz w:val="22"/>
          <w:szCs w:val="22"/>
        </w:rPr>
        <w:t xml:space="preserve">In relation to tier 1 urban environments, regional policy statements and district plans enable: </w:t>
      </w:r>
    </w:p>
    <w:p w:rsidR="006E3FD9" w:rsidRDefault="006E3FD9" w:rsidP="00F9028E">
      <w:pPr>
        <w:pStyle w:val="Default"/>
        <w:numPr>
          <w:ilvl w:val="0"/>
          <w:numId w:val="1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in city centre zones, building heights and density of urban form to realise as much development capacity as possible, to maximise benefits of intensification; and </w:t>
      </w:r>
    </w:p>
    <w:p w:rsidR="00F9028E" w:rsidRDefault="00F9028E" w:rsidP="00F9028E">
      <w:pPr>
        <w:pStyle w:val="Default"/>
        <w:spacing w:before="120" w:after="120"/>
        <w:ind w:left="720"/>
        <w:rPr>
          <w:sz w:val="22"/>
          <w:szCs w:val="22"/>
        </w:rPr>
      </w:pPr>
    </w:p>
    <w:p w:rsidR="006E3FD9" w:rsidRDefault="006E3FD9" w:rsidP="00F9028E">
      <w:pPr>
        <w:pStyle w:val="Default"/>
        <w:numPr>
          <w:ilvl w:val="0"/>
          <w:numId w:val="1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in metropolitan centre zones, building heights and density of urban form to reflect demand for housing and business use in those locations, and in all cases building heights of at least 6 storeys; and </w:t>
      </w:r>
    </w:p>
    <w:p w:rsidR="00F9028E" w:rsidRDefault="00F9028E" w:rsidP="00F9028E">
      <w:pPr>
        <w:pStyle w:val="Default"/>
        <w:spacing w:before="120" w:after="120"/>
        <w:ind w:left="720"/>
        <w:rPr>
          <w:sz w:val="22"/>
          <w:szCs w:val="22"/>
        </w:rPr>
      </w:pPr>
    </w:p>
    <w:p w:rsidR="00F9028E" w:rsidRDefault="006E3FD9" w:rsidP="00F9028E">
      <w:pPr>
        <w:pStyle w:val="Default"/>
        <w:numPr>
          <w:ilvl w:val="0"/>
          <w:numId w:val="1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building heights of least 6 storeys within at least a walkable catchment of the following: </w:t>
      </w:r>
    </w:p>
    <w:p w:rsidR="006E3FD9" w:rsidRDefault="006E3FD9" w:rsidP="00F9028E">
      <w:pPr>
        <w:pStyle w:val="Default"/>
        <w:spacing w:before="120" w:after="120"/>
        <w:ind w:left="720" w:firstLine="413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existing</w:t>
      </w:r>
      <w:proofErr w:type="gramEnd"/>
      <w:r>
        <w:rPr>
          <w:sz w:val="22"/>
          <w:szCs w:val="22"/>
        </w:rPr>
        <w:t xml:space="preserve"> and planned rapid transit stops </w:t>
      </w:r>
    </w:p>
    <w:p w:rsidR="006E3FD9" w:rsidRDefault="006E3FD9" w:rsidP="00F9028E">
      <w:pPr>
        <w:pStyle w:val="Default"/>
        <w:spacing w:before="120" w:after="120"/>
        <w:ind w:left="1133"/>
        <w:rPr>
          <w:sz w:val="22"/>
          <w:szCs w:val="22"/>
        </w:rPr>
      </w:pPr>
      <w:r>
        <w:rPr>
          <w:sz w:val="22"/>
          <w:szCs w:val="22"/>
        </w:rPr>
        <w:t xml:space="preserve">(ii)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edge of city centre zones </w:t>
      </w:r>
    </w:p>
    <w:p w:rsidR="006E3FD9" w:rsidRDefault="006E3FD9" w:rsidP="00F9028E">
      <w:pPr>
        <w:pStyle w:val="Default"/>
        <w:spacing w:before="120" w:after="120"/>
        <w:ind w:left="1133"/>
        <w:rPr>
          <w:sz w:val="22"/>
          <w:szCs w:val="22"/>
        </w:rPr>
      </w:pPr>
      <w:r>
        <w:rPr>
          <w:sz w:val="22"/>
          <w:szCs w:val="22"/>
        </w:rPr>
        <w:t xml:space="preserve">(iii)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edge of metropolitan centre zones; and </w:t>
      </w:r>
    </w:p>
    <w:p w:rsidR="00F9028E" w:rsidRDefault="00F9028E" w:rsidP="00F9028E">
      <w:pPr>
        <w:pStyle w:val="Default"/>
        <w:spacing w:before="120" w:after="120"/>
        <w:ind w:left="720"/>
        <w:rPr>
          <w:sz w:val="22"/>
          <w:szCs w:val="22"/>
        </w:rPr>
      </w:pPr>
    </w:p>
    <w:p w:rsidR="00F9028E" w:rsidRDefault="006E3FD9" w:rsidP="00F9028E">
      <w:pPr>
        <w:pStyle w:val="Default"/>
        <w:numPr>
          <w:ilvl w:val="0"/>
          <w:numId w:val="1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in all other locations in the tier 1 urban environment, building heights and density of urban form commensurate with the greater of: </w:t>
      </w:r>
    </w:p>
    <w:p w:rsidR="006E3FD9" w:rsidRDefault="006E3FD9" w:rsidP="00F9028E">
      <w:pPr>
        <w:pStyle w:val="Default"/>
        <w:spacing w:before="120" w:after="120"/>
        <w:ind w:left="1133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level of accessibility by existing or planned active or public transport to a range of commercial activities and community services; or </w:t>
      </w:r>
    </w:p>
    <w:p w:rsidR="006E3FD9" w:rsidRDefault="006E3FD9" w:rsidP="00F9028E">
      <w:pPr>
        <w:pStyle w:val="Default"/>
        <w:spacing w:before="120" w:after="120"/>
        <w:ind w:left="1133"/>
        <w:rPr>
          <w:sz w:val="22"/>
          <w:szCs w:val="22"/>
        </w:rPr>
      </w:pPr>
      <w:r>
        <w:rPr>
          <w:sz w:val="22"/>
          <w:szCs w:val="22"/>
        </w:rPr>
        <w:t xml:space="preserve">(ii) </w:t>
      </w:r>
      <w:proofErr w:type="gramStart"/>
      <w:r>
        <w:rPr>
          <w:sz w:val="22"/>
          <w:szCs w:val="22"/>
        </w:rPr>
        <w:t>relative</w:t>
      </w:r>
      <w:proofErr w:type="gramEnd"/>
      <w:r>
        <w:rPr>
          <w:sz w:val="22"/>
          <w:szCs w:val="22"/>
        </w:rPr>
        <w:t xml:space="preserve"> demand for housing and business use in that location. </w:t>
      </w:r>
    </w:p>
    <w:p w:rsidR="006E3FD9" w:rsidRDefault="006E3FD9" w:rsidP="006E3FD9">
      <w:pPr>
        <w:pStyle w:val="Default"/>
        <w:spacing w:before="120" w:after="120"/>
        <w:ind w:left="1133" w:hanging="568"/>
        <w:rPr>
          <w:sz w:val="22"/>
          <w:szCs w:val="22"/>
        </w:rPr>
      </w:pPr>
    </w:p>
    <w:p w:rsidR="006E3FD9" w:rsidRDefault="006E3FD9"/>
    <w:sectPr w:rsidR="006E3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2AFA"/>
    <w:multiLevelType w:val="multilevel"/>
    <w:tmpl w:val="65422A14"/>
    <w:lvl w:ilvl="0">
      <w:start w:val="1"/>
      <w:numFmt w:val="decimal"/>
      <w:pStyle w:val="GWOutlineA1"/>
      <w:lvlText w:val="%1."/>
      <w:lvlJc w:val="left"/>
      <w:pPr>
        <w:tabs>
          <w:tab w:val="num" w:pos="851"/>
        </w:tabs>
        <w:ind w:left="851" w:hanging="851"/>
      </w:pPr>
      <w:rPr>
        <w:rFonts w:asciiTheme="minorHAnsi" w:hAnsiTheme="minorHAnsi" w:cstheme="minorHAnsi" w:hint="default"/>
        <w:b w:val="0"/>
        <w:sz w:val="24"/>
        <w:szCs w:val="24"/>
      </w:rPr>
    </w:lvl>
    <w:lvl w:ilvl="1">
      <w:start w:val="1"/>
      <w:numFmt w:val="decimal"/>
      <w:pStyle w:val="GWOutlineA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WOutlineA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WOutlineA4"/>
      <w:lvlText w:val="(%4)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Roman"/>
      <w:pStyle w:val="GWOutlineA5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6E9489B"/>
    <w:multiLevelType w:val="hybridMultilevel"/>
    <w:tmpl w:val="6FE41D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D4B63"/>
    <w:multiLevelType w:val="hybridMultilevel"/>
    <w:tmpl w:val="D14C092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F9"/>
    <w:rsid w:val="00420FF9"/>
    <w:rsid w:val="00474FD5"/>
    <w:rsid w:val="006E3FD9"/>
    <w:rsid w:val="0074506E"/>
    <w:rsid w:val="008D28F5"/>
    <w:rsid w:val="00BD17DE"/>
    <w:rsid w:val="00E623A5"/>
    <w:rsid w:val="00F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EB2A"/>
  <w15:chartTrackingRefBased/>
  <w15:docId w15:val="{6956B5BF-B7F9-4084-B5DE-3B5B151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3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iller">
    <w:name w:val="Filler"/>
    <w:semiHidden/>
    <w:rsid w:val="00F9028E"/>
    <w:pPr>
      <w:spacing w:after="315" w:line="240" w:lineRule="auto"/>
    </w:pPr>
    <w:rPr>
      <w:rFonts w:ascii="Times New Roman" w:eastAsia="Times New Roman" w:hAnsi="Times New Roman" w:cs="Times New Roman"/>
      <w:noProof/>
      <w:color w:val="FFFFFF"/>
      <w:sz w:val="2"/>
      <w:szCs w:val="20"/>
      <w:lang w:val="en-GB" w:eastAsia="en-GB"/>
    </w:rPr>
  </w:style>
  <w:style w:type="paragraph" w:customStyle="1" w:styleId="GWContactDetails">
    <w:name w:val="GW Contact Details"/>
    <w:basedOn w:val="Normal"/>
    <w:semiHidden/>
    <w:rsid w:val="00F9028E"/>
    <w:pPr>
      <w:spacing w:after="227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GWContactHeadings">
    <w:name w:val="GW Contact Headings"/>
    <w:basedOn w:val="Normal"/>
    <w:semiHidden/>
    <w:rsid w:val="00F9028E"/>
    <w:pPr>
      <w:spacing w:after="227" w:line="250" w:lineRule="exact"/>
    </w:pPr>
    <w:rPr>
      <w:rFonts w:ascii="Arial Narrow" w:eastAsia="Times New Roman" w:hAnsi="Arial Narrow" w:cs="Times New Roman"/>
      <w:caps/>
      <w:sz w:val="24"/>
      <w:szCs w:val="20"/>
      <w:lang w:eastAsia="en-GB"/>
    </w:rPr>
  </w:style>
  <w:style w:type="paragraph" w:customStyle="1" w:styleId="GWOutlineA1">
    <w:name w:val="GW Outline A 1"/>
    <w:basedOn w:val="Normal"/>
    <w:next w:val="Normal"/>
    <w:rsid w:val="00F9028E"/>
    <w:pPr>
      <w:keepNext/>
      <w:numPr>
        <w:numId w:val="2"/>
      </w:numPr>
      <w:spacing w:before="120" w:after="60" w:line="240" w:lineRule="auto"/>
    </w:pPr>
    <w:rPr>
      <w:rFonts w:ascii="Arial" w:eastAsia="Times New Roman" w:hAnsi="Arial" w:cs="Times New Roman"/>
      <w:b/>
      <w:sz w:val="28"/>
      <w:szCs w:val="20"/>
      <w:lang w:eastAsia="en-GB"/>
    </w:rPr>
  </w:style>
  <w:style w:type="paragraph" w:customStyle="1" w:styleId="GWOutlineA2">
    <w:name w:val="GW Outline A 2"/>
    <w:basedOn w:val="Normal"/>
    <w:next w:val="BodyText"/>
    <w:rsid w:val="00F9028E"/>
    <w:pPr>
      <w:keepNext/>
      <w:numPr>
        <w:ilvl w:val="1"/>
        <w:numId w:val="2"/>
      </w:numPr>
      <w:spacing w:before="120" w:after="6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GWOutlineA3">
    <w:name w:val="GW Outline A 3"/>
    <w:basedOn w:val="GWOutlineA1"/>
    <w:next w:val="BodyText"/>
    <w:rsid w:val="00F9028E"/>
    <w:pPr>
      <w:numPr>
        <w:ilvl w:val="2"/>
      </w:numPr>
    </w:pPr>
    <w:rPr>
      <w:b w:val="0"/>
      <w:sz w:val="24"/>
      <w:szCs w:val="24"/>
    </w:rPr>
  </w:style>
  <w:style w:type="paragraph" w:customStyle="1" w:styleId="GWOutlineA4">
    <w:name w:val="GW Outline A 4"/>
    <w:basedOn w:val="GWOutlineA3"/>
    <w:next w:val="BodyText"/>
    <w:rsid w:val="00F9028E"/>
    <w:pPr>
      <w:numPr>
        <w:ilvl w:val="3"/>
      </w:numPr>
    </w:pPr>
  </w:style>
  <w:style w:type="paragraph" w:customStyle="1" w:styleId="GWOutlineA5">
    <w:name w:val="GW Outline A 5"/>
    <w:basedOn w:val="GWOutlineA4"/>
    <w:next w:val="BodyText"/>
    <w:rsid w:val="00F9028E"/>
    <w:pPr>
      <w:numPr>
        <w:ilvl w:val="4"/>
      </w:numPr>
    </w:pPr>
  </w:style>
  <w:style w:type="paragraph" w:styleId="ListParagraph">
    <w:name w:val="List Paragraph"/>
    <w:basedOn w:val="Normal"/>
    <w:uiPriority w:val="34"/>
    <w:qFormat/>
    <w:rsid w:val="00F90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2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28E"/>
  </w:style>
  <w:style w:type="table" w:styleId="TableGrid">
    <w:name w:val="Table Grid"/>
    <w:basedOn w:val="TableNormal"/>
    <w:uiPriority w:val="39"/>
    <w:rsid w:val="00BD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0AB3-6FF9-4635-9F2C-81B3A81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Matthews</dc:creator>
  <cp:keywords/>
  <dc:description/>
  <cp:lastModifiedBy>Fleur Matthews</cp:lastModifiedBy>
  <cp:revision>2</cp:revision>
  <dcterms:created xsi:type="dcterms:W3CDTF">2021-02-18T01:18:00Z</dcterms:created>
  <dcterms:modified xsi:type="dcterms:W3CDTF">2021-02-18T21:58:00Z</dcterms:modified>
</cp:coreProperties>
</file>